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53" w:rsidRPr="00B13253" w:rsidRDefault="00B13253" w:rsidP="00B13253">
      <w:pPr>
        <w:widowControl/>
        <w:spacing w:after="80"/>
        <w:jc w:val="center"/>
        <w:rPr>
          <w:rFonts w:ascii="Arial" w:eastAsia="宋体" w:hAnsi="Arial" w:cs="Arial"/>
          <w:kern w:val="0"/>
          <w:sz w:val="24"/>
          <w:szCs w:val="24"/>
        </w:rPr>
      </w:pPr>
      <w:r w:rsidRPr="00B13253">
        <w:rPr>
          <w:rFonts w:ascii="宋体" w:eastAsia="宋体" w:hAnsi="宋体" w:cs="Arial" w:hint="eastAsia"/>
          <w:b/>
          <w:bCs/>
          <w:kern w:val="0"/>
          <w:sz w:val="46"/>
          <w:szCs w:val="46"/>
        </w:rPr>
        <w:t>杭州市国有建设用地使用权挂牌出让公告</w:t>
      </w:r>
    </w:p>
    <w:p w:rsidR="00B13253" w:rsidRPr="00B13253" w:rsidRDefault="00B13253" w:rsidP="00B13253">
      <w:pPr>
        <w:widowControl/>
        <w:spacing w:before="80" w:after="80"/>
        <w:jc w:val="center"/>
        <w:rPr>
          <w:rFonts w:ascii="Arial" w:eastAsia="宋体" w:hAnsi="Arial" w:cs="Arial"/>
          <w:kern w:val="0"/>
          <w:sz w:val="24"/>
          <w:szCs w:val="24"/>
        </w:rPr>
      </w:pPr>
      <w:r w:rsidRPr="00B13253">
        <w:rPr>
          <w:rFonts w:ascii="楷体" w:eastAsia="楷体" w:hAnsi="楷体" w:cs="Arial" w:hint="eastAsia"/>
          <w:b/>
          <w:bCs/>
          <w:kern w:val="0"/>
          <w:sz w:val="34"/>
          <w:szCs w:val="34"/>
        </w:rPr>
        <w:t>萧土资告【2018】01004号</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根据国家有关法律、法规的规定，依据城市规划，经杭州市人民政府批准，杭州市国土资源局萧山分局对下列地块采用挂牌方式出让。现将有关事宜公告如下：</w:t>
      </w:r>
    </w:p>
    <w:p w:rsidR="00B13253" w:rsidRPr="00B13253" w:rsidRDefault="00B13253" w:rsidP="00B13253">
      <w:pPr>
        <w:widowControl/>
        <w:spacing w:before="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一、挂牌出让地块位置及规划指标概况：</w:t>
      </w:r>
    </w:p>
    <w:tbl>
      <w:tblPr>
        <w:tblW w:w="0" w:type="auto"/>
        <w:tblCellMar>
          <w:left w:w="0" w:type="dxa"/>
          <w:right w:w="0" w:type="dxa"/>
        </w:tblCellMar>
        <w:tblLook w:val="04A0" w:firstRow="1" w:lastRow="0" w:firstColumn="1" w:lastColumn="0" w:noHBand="0" w:noVBand="1"/>
      </w:tblPr>
      <w:tblGrid>
        <w:gridCol w:w="1166"/>
        <w:gridCol w:w="2813"/>
        <w:gridCol w:w="1166"/>
        <w:gridCol w:w="606"/>
        <w:gridCol w:w="1467"/>
        <w:gridCol w:w="1068"/>
      </w:tblGrid>
      <w:tr w:rsidR="00B13253" w:rsidRPr="00B13253" w:rsidTr="00B13253">
        <w:trPr>
          <w:trHeight w:val="90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地块编号</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出让面积（M2）</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土地用途</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地上建筑面积（M2）</w:t>
            </w:r>
          </w:p>
        </w:tc>
        <w:tc>
          <w:tcPr>
            <w:tcW w:w="0" w:type="auto"/>
            <w:tcBorders>
              <w:top w:val="single" w:sz="8" w:space="0" w:color="auto"/>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土地出让年限</w:t>
            </w:r>
          </w:p>
        </w:tc>
        <w:bookmarkStart w:id="0" w:name="_GoBack"/>
        <w:bookmarkEnd w:id="0"/>
      </w:tr>
      <w:tr w:rsidR="00B13253" w:rsidRPr="00B13253" w:rsidTr="00B13253">
        <w:trPr>
          <w:cantSplit/>
          <w:trHeight w:val="1155"/>
        </w:trPr>
        <w:tc>
          <w:tcPr>
            <w:tcW w:w="0" w:type="auto"/>
            <w:tcBorders>
              <w:top w:val="nil"/>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萧政储出(2018)</w:t>
            </w:r>
          </w:p>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10号</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位于萧山区市北东单元内，东至经十三路，西至佳农路、支一路，北至大地路，南至建设一路辅路。</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46839</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left"/>
              <w:rPr>
                <w:rFonts w:ascii="Arial" w:eastAsia="宋体" w:hAnsi="Arial" w:cs="Arial"/>
                <w:kern w:val="0"/>
                <w:sz w:val="24"/>
                <w:szCs w:val="24"/>
              </w:rPr>
            </w:pPr>
            <w:r w:rsidRPr="00B13253">
              <w:rPr>
                <w:rFonts w:ascii="仿宋" w:eastAsia="仿宋" w:hAnsi="仿宋" w:cs="Arial" w:hint="eastAsia"/>
                <w:color w:val="000000"/>
                <w:kern w:val="0"/>
                <w:sz w:val="26"/>
                <w:szCs w:val="26"/>
              </w:rPr>
              <w:t>居住用地</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117097.5</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住宅70年，商业40年</w:t>
            </w:r>
          </w:p>
        </w:tc>
      </w:tr>
      <w:tr w:rsidR="00B13253" w:rsidRPr="00B13253" w:rsidTr="00B13253">
        <w:trPr>
          <w:cantSplit/>
          <w:trHeight w:val="780"/>
        </w:trPr>
        <w:tc>
          <w:tcPr>
            <w:tcW w:w="0" w:type="auto"/>
            <w:tcBorders>
              <w:top w:val="nil"/>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萧政储出(2018)</w:t>
            </w:r>
          </w:p>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11号</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位于萧山城区市北东单元，东至万向路，南至友成路，北至建设一路，西至经十一路。</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28060</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left"/>
              <w:rPr>
                <w:rFonts w:ascii="Arial" w:eastAsia="宋体" w:hAnsi="Arial" w:cs="Arial"/>
                <w:kern w:val="0"/>
                <w:sz w:val="24"/>
                <w:szCs w:val="24"/>
              </w:rPr>
            </w:pPr>
            <w:r w:rsidRPr="00B13253">
              <w:rPr>
                <w:rFonts w:ascii="仿宋" w:eastAsia="仿宋" w:hAnsi="仿宋" w:cs="Arial" w:hint="eastAsia"/>
                <w:color w:val="000000"/>
                <w:kern w:val="0"/>
                <w:sz w:val="26"/>
                <w:szCs w:val="26"/>
              </w:rPr>
              <w:t>居住用地</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61732</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住宅70年，商业40年</w:t>
            </w:r>
          </w:p>
        </w:tc>
      </w:tr>
      <w:tr w:rsidR="00B13253" w:rsidRPr="00B13253" w:rsidTr="00B13253">
        <w:trPr>
          <w:cantSplit/>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lastRenderedPageBreak/>
              <w:t>萧政储出(2018)</w:t>
            </w:r>
          </w:p>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12号</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位于萧山城区蜀山南单元，东至规划蜀山西路，南至规划南五路，西至湘湖三期金西安置房项目地块，北至规划南四路。</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57802</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left"/>
              <w:rPr>
                <w:rFonts w:ascii="Arial" w:eastAsia="宋体" w:hAnsi="Arial" w:cs="Arial"/>
                <w:kern w:val="0"/>
                <w:sz w:val="24"/>
                <w:szCs w:val="24"/>
              </w:rPr>
            </w:pPr>
            <w:r w:rsidRPr="00B13253">
              <w:rPr>
                <w:rFonts w:ascii="仿宋" w:eastAsia="仿宋" w:hAnsi="仿宋" w:cs="Arial" w:hint="eastAsia"/>
                <w:color w:val="000000"/>
                <w:kern w:val="0"/>
                <w:sz w:val="26"/>
                <w:szCs w:val="26"/>
              </w:rPr>
              <w:t>居住用地</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161845.6</w:t>
            </w:r>
          </w:p>
        </w:tc>
        <w:tc>
          <w:tcPr>
            <w:tcW w:w="0" w:type="auto"/>
            <w:tcBorders>
              <w:top w:val="nil"/>
              <w:left w:val="nil"/>
              <w:bottom w:val="single" w:sz="8" w:space="0" w:color="auto"/>
              <w:right w:val="single" w:sz="8" w:space="0" w:color="auto"/>
            </w:tcBorders>
            <w:shd w:val="clear" w:color="auto" w:fill="auto"/>
            <w:tcMar>
              <w:top w:w="0" w:type="dxa"/>
              <w:left w:w="112" w:type="dxa"/>
              <w:bottom w:w="0" w:type="dxa"/>
              <w:right w:w="112" w:type="dxa"/>
            </w:tcMar>
            <w:vAlign w:val="center"/>
            <w:hideMark/>
          </w:tcPr>
          <w:p w:rsidR="00B13253" w:rsidRPr="00B13253" w:rsidRDefault="00B13253" w:rsidP="00B13253">
            <w:pPr>
              <w:widowControl/>
              <w:jc w:val="center"/>
              <w:rPr>
                <w:rFonts w:ascii="Arial" w:eastAsia="宋体" w:hAnsi="Arial" w:cs="Arial"/>
                <w:kern w:val="0"/>
                <w:sz w:val="24"/>
                <w:szCs w:val="24"/>
              </w:rPr>
            </w:pPr>
            <w:r w:rsidRPr="00B13253">
              <w:rPr>
                <w:rFonts w:ascii="仿宋" w:eastAsia="仿宋" w:hAnsi="仿宋" w:cs="Arial" w:hint="eastAsia"/>
                <w:color w:val="000000"/>
                <w:kern w:val="0"/>
                <w:sz w:val="26"/>
                <w:szCs w:val="26"/>
              </w:rPr>
              <w:t>住宅70年</w:t>
            </w:r>
          </w:p>
        </w:tc>
      </w:tr>
    </w:tbl>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注：以《挂牌出让文件》和出让合同为准。</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二、挂牌出让土地受让对象：凡中华人民共和国境内自然人、法人和其他组织均可参加国有建设用地使用权挂牌出让活动，可以独立竞买，也可联合竞买。境外企业要求参加竞买的，可先在境内依法设立公司，也可直接参加竞买。具体竞买申请要求详见挂牌出让文件。竞得者必须严格按照土地出让合同规定的条件进行开发建设。</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三、竞买人确定方式：按照《挂牌出让文件》规定的原则确定竞得人。</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四、本次挂牌出让地点：本次国有建设用地使用权挂牌出让通过浙江省土地使用权网上交易系统（http://tdjy.zjdlr.gov.cn/GTJY_ZJ/）进行。申请人可通过浙江省国土资源厅门户网站进入浙江省土地使用权网上交易系统。</w:t>
      </w:r>
    </w:p>
    <w:p w:rsidR="00B13253" w:rsidRPr="00B13253" w:rsidRDefault="00B13253" w:rsidP="00B13253">
      <w:pPr>
        <w:widowControl/>
        <w:spacing w:before="75" w:after="75"/>
        <w:ind w:firstLine="720"/>
        <w:jc w:val="left"/>
        <w:rPr>
          <w:rFonts w:ascii="Arial" w:eastAsia="宋体" w:hAnsi="Arial" w:cs="Arial"/>
          <w:kern w:val="0"/>
          <w:sz w:val="24"/>
          <w:szCs w:val="24"/>
        </w:rPr>
      </w:pPr>
      <w:r w:rsidRPr="00B13253">
        <w:rPr>
          <w:rFonts w:ascii="仿宋" w:eastAsia="仿宋" w:hAnsi="仿宋" w:cs="Arial" w:hint="eastAsia"/>
          <w:kern w:val="0"/>
          <w:sz w:val="34"/>
          <w:szCs w:val="34"/>
        </w:rPr>
        <w:lastRenderedPageBreak/>
        <w:t>五、本次挂牌报价和报名时间：</w:t>
      </w:r>
    </w:p>
    <w:p w:rsidR="00B13253" w:rsidRPr="00B13253" w:rsidRDefault="00B13253" w:rsidP="00B13253">
      <w:pPr>
        <w:widowControl/>
        <w:spacing w:before="75" w:after="75"/>
        <w:ind w:firstLine="720"/>
        <w:jc w:val="left"/>
        <w:rPr>
          <w:rFonts w:ascii="Arial" w:eastAsia="宋体" w:hAnsi="Arial" w:cs="Arial"/>
          <w:kern w:val="0"/>
          <w:sz w:val="24"/>
          <w:szCs w:val="24"/>
        </w:rPr>
      </w:pPr>
      <w:r w:rsidRPr="00B13253">
        <w:rPr>
          <w:rFonts w:ascii="仿宋" w:eastAsia="仿宋" w:hAnsi="仿宋" w:cs="Arial" w:hint="eastAsia"/>
          <w:kern w:val="0"/>
          <w:sz w:val="34"/>
          <w:szCs w:val="34"/>
        </w:rPr>
        <w:t>挂牌报价</w:t>
      </w:r>
      <w:r w:rsidRPr="00B13253">
        <w:rPr>
          <w:rFonts w:ascii="仿宋" w:eastAsia="仿宋" w:hAnsi="仿宋" w:cs="Arial" w:hint="eastAsia"/>
          <w:color w:val="000000"/>
          <w:kern w:val="0"/>
          <w:sz w:val="34"/>
          <w:szCs w:val="34"/>
        </w:rPr>
        <w:t>时间:自2018年3月17日9:00起至2018年3月27日9:00止。</w:t>
      </w:r>
    </w:p>
    <w:p w:rsidR="00B13253" w:rsidRPr="00B13253" w:rsidRDefault="00B13253" w:rsidP="00B13253">
      <w:pPr>
        <w:widowControl/>
        <w:spacing w:before="80" w:after="80" w:line="360" w:lineRule="auto"/>
        <w:jc w:val="left"/>
        <w:rPr>
          <w:rFonts w:ascii="Arial" w:eastAsia="宋体" w:hAnsi="Arial" w:cs="Arial"/>
          <w:kern w:val="0"/>
          <w:sz w:val="24"/>
          <w:szCs w:val="24"/>
        </w:rPr>
      </w:pPr>
      <w:r w:rsidRPr="00B13253">
        <w:rPr>
          <w:rFonts w:ascii="仿宋" w:eastAsia="仿宋" w:hAnsi="仿宋" w:cs="Arial" w:hint="eastAsia"/>
          <w:color w:val="000000"/>
          <w:kern w:val="0"/>
          <w:sz w:val="34"/>
          <w:szCs w:val="34"/>
        </w:rPr>
        <w:t>报名时间：自2018年3月17日 9:00起至 2018年3月26</w:t>
      </w:r>
      <w:r w:rsidRPr="00B13253">
        <w:rPr>
          <w:rFonts w:ascii="仿宋" w:eastAsia="仿宋" w:hAnsi="仿宋" w:cs="Arial"/>
          <w:noProof/>
          <w:color w:val="000000"/>
          <w:kern w:val="0"/>
          <w:sz w:val="34"/>
          <w:szCs w:val="34"/>
        </w:rPr>
        <mc:AlternateContent>
          <mc:Choice Requires="wps">
            <w:drawing>
              <wp:inline distT="0" distB="0" distL="0" distR="0" wp14:anchorId="6CEA8636" wp14:editId="17FF4E68">
                <wp:extent cx="304800" cy="304800"/>
                <wp:effectExtent l="0" t="0" r="0" b="0"/>
                <wp:docPr id="2" name="AutoShape 2" descr="http://tdjy.zjdlr.gov.cn/GTJY_ZJ/crgg_info?rid=6551&amp;JYFS=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CB820" id="AutoShape 2" o:spid="_x0000_s1026" alt="http://tdjy.zjdlr.gov.cn/GTJY_ZJ/crgg_info?rid=6551&amp;JYFS=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jeEE8QIAAP8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B13253">
        <w:rPr>
          <w:rFonts w:ascii="仿宋" w:eastAsia="仿宋" w:hAnsi="仿宋" w:cs="Arial" w:hint="eastAsia"/>
          <w:color w:val="000000"/>
          <w:kern w:val="0"/>
          <w:sz w:val="34"/>
          <w:szCs w:val="34"/>
        </w:rPr>
        <w:t>日17:00止。</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六、本次挂牌出让的详细情况请参阅《挂牌出让文件》。申请人可登陆浙江省土地使用权网上交易系统浏览或下载挂牌出让文件及地块相关资料。</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七、其他事项：</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一）挂牌期间有一个或者一个以上的竞买人报价的，网上挂牌期限截止后，系统提示竞买人是否参与限时竞价，提示时间为10分钟。无竞买人选择参与限时竞价的，挂牌交易结束。有竞买人选择参与限时竞价的，系统进入限时竞价阶段，所有竞买人均可参与限时竞价。</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（二）挂牌过程全程网上进行，本次挂牌不接受电话、邮寄、口头及书面竞买报价。</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（三）申请人须按照挂牌出让须知要求办理数字证书，符合竞买要求，并按要求足额交纳竞买保证金，方可参加网上竞价活动。在挂牌出让期间，竞买人必须使</w:t>
      </w:r>
      <w:r w:rsidRPr="00B13253">
        <w:rPr>
          <w:rFonts w:ascii="仿宋" w:eastAsia="仿宋" w:hAnsi="仿宋" w:cs="Arial" w:hint="eastAsia"/>
          <w:kern w:val="0"/>
          <w:sz w:val="34"/>
          <w:szCs w:val="34"/>
        </w:rPr>
        <w:lastRenderedPageBreak/>
        <w:t>用IE7.0、8.0、9.0及10（推荐使用IE8.0）浏览器登录交易系统，否则可能导致交易异常。</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（四）现场咨询：杭州市国土资源局萧山分局5楼5003室（萧山区育才北路508号）；咨询电话：82735669;83893816。</w:t>
      </w:r>
    </w:p>
    <w:p w:rsidR="00B13253" w:rsidRPr="00B13253" w:rsidRDefault="00B13253" w:rsidP="00B13253">
      <w:pPr>
        <w:widowControl/>
        <w:spacing w:before="80" w:after="80" w:line="360" w:lineRule="auto"/>
        <w:ind w:firstLine="688"/>
        <w:jc w:val="left"/>
        <w:rPr>
          <w:rFonts w:ascii="Arial" w:eastAsia="宋体" w:hAnsi="Arial" w:cs="Arial"/>
          <w:kern w:val="0"/>
          <w:sz w:val="24"/>
          <w:szCs w:val="24"/>
        </w:rPr>
      </w:pPr>
      <w:r w:rsidRPr="00B13253">
        <w:rPr>
          <w:rFonts w:ascii="仿宋" w:eastAsia="仿宋" w:hAnsi="仿宋" w:cs="Arial" w:hint="eastAsia"/>
          <w:kern w:val="0"/>
          <w:sz w:val="34"/>
          <w:szCs w:val="34"/>
        </w:rPr>
        <w:t>（五）系统网络技术咨询18627599793，18932430170</w:t>
      </w:r>
    </w:p>
    <w:p w:rsidR="00B13253" w:rsidRPr="00B13253" w:rsidRDefault="00B13253" w:rsidP="00B13253">
      <w:pPr>
        <w:widowControl/>
        <w:spacing w:before="80" w:after="80"/>
        <w:jc w:val="right"/>
        <w:rPr>
          <w:rFonts w:ascii="Arial" w:eastAsia="宋体" w:hAnsi="Arial" w:cs="Arial"/>
          <w:kern w:val="0"/>
          <w:sz w:val="24"/>
          <w:szCs w:val="24"/>
        </w:rPr>
      </w:pPr>
      <w:r w:rsidRPr="00B13253">
        <w:rPr>
          <w:rFonts w:ascii="仿宋" w:eastAsia="仿宋" w:hAnsi="仿宋" w:cs="Arial" w:hint="eastAsia"/>
          <w:kern w:val="0"/>
          <w:sz w:val="34"/>
          <w:szCs w:val="34"/>
        </w:rPr>
        <w:t>杭州市国土资源局萧山分局</w:t>
      </w:r>
    </w:p>
    <w:p w:rsidR="00B13253" w:rsidRPr="00B13253" w:rsidRDefault="00B13253" w:rsidP="00B13253">
      <w:pPr>
        <w:widowControl/>
        <w:spacing w:before="80"/>
        <w:jc w:val="right"/>
        <w:rPr>
          <w:rFonts w:ascii="Arial" w:eastAsia="宋体" w:hAnsi="Arial" w:cs="Arial"/>
          <w:kern w:val="0"/>
          <w:sz w:val="24"/>
          <w:szCs w:val="24"/>
        </w:rPr>
      </w:pPr>
      <w:r w:rsidRPr="00B13253">
        <w:rPr>
          <w:rFonts w:ascii="仿宋" w:eastAsia="仿宋" w:hAnsi="仿宋" w:cs="Arial" w:hint="eastAsia"/>
          <w:kern w:val="0"/>
          <w:sz w:val="34"/>
          <w:szCs w:val="34"/>
        </w:rPr>
        <w:t>2018年2月25日</w:t>
      </w:r>
      <w:r w:rsidRPr="00B13253">
        <w:rPr>
          <w:rFonts w:ascii="Times New Roman" w:eastAsia="宋体" w:hAnsi="Times New Roman" w:cs="Times New Roman"/>
          <w:kern w:val="0"/>
          <w:sz w:val="34"/>
          <w:szCs w:val="34"/>
        </w:rPr>
        <w:t xml:space="preserve"> </w:t>
      </w:r>
    </w:p>
    <w:p w:rsidR="00B13253" w:rsidRDefault="00B13253" w:rsidP="00B13253">
      <w:pPr>
        <w:rPr>
          <w:rFonts w:hint="eastAsia"/>
        </w:rPr>
      </w:pPr>
    </w:p>
    <w:sectPr w:rsidR="00B13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A7" w:rsidRDefault="001926A7" w:rsidP="00B13253">
      <w:r>
        <w:separator/>
      </w:r>
    </w:p>
  </w:endnote>
  <w:endnote w:type="continuationSeparator" w:id="0">
    <w:p w:rsidR="001926A7" w:rsidRDefault="001926A7" w:rsidP="00B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A7" w:rsidRDefault="001926A7" w:rsidP="00B13253">
      <w:r>
        <w:separator/>
      </w:r>
    </w:p>
  </w:footnote>
  <w:footnote w:type="continuationSeparator" w:id="0">
    <w:p w:rsidR="001926A7" w:rsidRDefault="001926A7" w:rsidP="00B13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A2FC6"/>
    <w:multiLevelType w:val="hybridMultilevel"/>
    <w:tmpl w:val="508C6E60"/>
    <w:lvl w:ilvl="0" w:tplc="C826F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4"/>
    <w:rsid w:val="00072AFA"/>
    <w:rsid w:val="001926A7"/>
    <w:rsid w:val="00B13253"/>
    <w:rsid w:val="00BD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4F22A-1AD3-4B9A-B5E3-F9BF17B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253"/>
    <w:rPr>
      <w:sz w:val="18"/>
      <w:szCs w:val="18"/>
    </w:rPr>
  </w:style>
  <w:style w:type="paragraph" w:styleId="a4">
    <w:name w:val="footer"/>
    <w:basedOn w:val="a"/>
    <w:link w:val="Char0"/>
    <w:uiPriority w:val="99"/>
    <w:unhideWhenUsed/>
    <w:rsid w:val="00B13253"/>
    <w:pPr>
      <w:tabs>
        <w:tab w:val="center" w:pos="4153"/>
        <w:tab w:val="right" w:pos="8306"/>
      </w:tabs>
      <w:snapToGrid w:val="0"/>
      <w:jc w:val="left"/>
    </w:pPr>
    <w:rPr>
      <w:sz w:val="18"/>
      <w:szCs w:val="18"/>
    </w:rPr>
  </w:style>
  <w:style w:type="character" w:customStyle="1" w:styleId="Char0">
    <w:name w:val="页脚 Char"/>
    <w:basedOn w:val="a0"/>
    <w:link w:val="a4"/>
    <w:uiPriority w:val="99"/>
    <w:rsid w:val="00B13253"/>
    <w:rPr>
      <w:sz w:val="18"/>
      <w:szCs w:val="18"/>
    </w:rPr>
  </w:style>
  <w:style w:type="paragraph" w:styleId="a5">
    <w:name w:val="List Paragraph"/>
    <w:basedOn w:val="a"/>
    <w:uiPriority w:val="34"/>
    <w:qFormat/>
    <w:rsid w:val="00B132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144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198</Words>
  <Characters>1135</Characters>
  <Application>Microsoft Office Word</Application>
  <DocSecurity>0</DocSecurity>
  <Lines>9</Lines>
  <Paragraphs>2</Paragraphs>
  <ScaleCrop>false</ScaleCrop>
  <Company>china</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2018-02-26T01:08:00Z</dcterms:created>
  <dcterms:modified xsi:type="dcterms:W3CDTF">2018-02-26T01:21:00Z</dcterms:modified>
</cp:coreProperties>
</file>