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26B45" w:rsidRPr="00526B45" w:rsidRDefault="00526B45" w:rsidP="00526B45">
      <w:pPr>
        <w:widowControl/>
        <w:shd w:val="clear" w:color="auto" w:fill="FFFFFF"/>
        <w:spacing w:line="480" w:lineRule="atLeast"/>
        <w:ind w:right="-193" w:firstLine="499"/>
        <w:jc w:val="center"/>
        <w:rPr>
          <w:rFonts w:ascii="宋体" w:eastAsia="宋体" w:hAnsi="宋体" w:cs="宋体"/>
          <w:color w:val="333333"/>
          <w:kern w:val="0"/>
          <w:szCs w:val="21"/>
        </w:rPr>
      </w:pPr>
      <w:r w:rsidRPr="00526B45">
        <w:rPr>
          <w:rFonts w:ascii="宋体" w:eastAsia="宋体" w:hAnsi="宋体" w:cs="宋体" w:hint="eastAsia"/>
          <w:b/>
          <w:bCs/>
          <w:color w:val="333333"/>
          <w:kern w:val="0"/>
          <w:sz w:val="39"/>
          <w:szCs w:val="39"/>
        </w:rPr>
        <w:t>南京市国有建设用地使用权挂牌出让公告</w:t>
      </w:r>
    </w:p>
    <w:p w:rsidR="00526B45" w:rsidRPr="00526B45" w:rsidRDefault="00526B45" w:rsidP="00526B45">
      <w:pPr>
        <w:widowControl/>
        <w:shd w:val="clear" w:color="auto" w:fill="FFFFFF"/>
        <w:spacing w:before="50" w:line="480" w:lineRule="atLeast"/>
        <w:ind w:right="-193" w:firstLine="540"/>
        <w:jc w:val="center"/>
        <w:rPr>
          <w:rFonts w:ascii="宋体" w:eastAsia="宋体" w:hAnsi="宋体" w:cs="宋体"/>
          <w:color w:val="333333"/>
          <w:kern w:val="0"/>
          <w:szCs w:val="21"/>
        </w:rPr>
      </w:pPr>
      <w:r w:rsidRPr="00526B45">
        <w:rPr>
          <w:rFonts w:ascii="宋体" w:eastAsia="宋体" w:hAnsi="宋体" w:cs="宋体" w:hint="eastAsia"/>
          <w:b/>
          <w:bCs/>
          <w:color w:val="333333"/>
          <w:kern w:val="0"/>
          <w:sz w:val="27"/>
          <w:szCs w:val="27"/>
        </w:rPr>
        <w:t>（</w:t>
      </w:r>
      <w:proofErr w:type="gramStart"/>
      <w:r w:rsidRPr="00526B45">
        <w:rPr>
          <w:rFonts w:ascii="宋体" w:eastAsia="宋体" w:hAnsi="宋体" w:cs="宋体" w:hint="eastAsia"/>
          <w:b/>
          <w:bCs/>
          <w:color w:val="333333"/>
          <w:kern w:val="0"/>
          <w:sz w:val="27"/>
          <w:szCs w:val="27"/>
        </w:rPr>
        <w:t>2019年宁出第05号</w:t>
      </w:r>
      <w:proofErr w:type="gramEnd"/>
      <w:r w:rsidRPr="00526B45">
        <w:rPr>
          <w:rFonts w:ascii="宋体" w:eastAsia="宋体" w:hAnsi="宋体" w:cs="宋体" w:hint="eastAsia"/>
          <w:b/>
          <w:bCs/>
          <w:color w:val="333333"/>
          <w:kern w:val="0"/>
          <w:sz w:val="27"/>
          <w:szCs w:val="27"/>
        </w:rPr>
        <w:t>）</w:t>
      </w:r>
    </w:p>
    <w:p w:rsidR="00526B45" w:rsidRPr="00526B45" w:rsidRDefault="00526B45" w:rsidP="00526B45">
      <w:pPr>
        <w:widowControl/>
        <w:shd w:val="clear" w:color="auto" w:fill="FFFFFF"/>
        <w:spacing w:before="50" w:line="480" w:lineRule="atLeast"/>
        <w:ind w:right="-193" w:firstLine="540"/>
        <w:jc w:val="center"/>
        <w:rPr>
          <w:rFonts w:ascii="宋体" w:eastAsia="宋体" w:hAnsi="宋体" w:cs="宋体"/>
          <w:color w:val="333333"/>
          <w:kern w:val="0"/>
          <w:szCs w:val="21"/>
        </w:rPr>
      </w:pP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根据《中华人民共和国土地管理法》、《招标拍卖挂牌出让国有建设用地使用权规定》（原国土资源部令第39号）等法律、法规规定，经市政府批准，南京市规划和自然资源局对下列建设用地使用权进行公开挂牌出让，地块范围内原土地使用权同时收回。现就有关出让事项公告如下：</w:t>
      </w:r>
    </w:p>
    <w:p w:rsidR="00526B45" w:rsidRPr="00526B45" w:rsidRDefault="00526B45" w:rsidP="00526B45">
      <w:pPr>
        <w:widowControl/>
        <w:shd w:val="clear" w:color="auto" w:fill="FFFFFF"/>
        <w:spacing w:before="50" w:line="480" w:lineRule="atLeast"/>
        <w:ind w:right="-193" w:firstLine="540"/>
        <w:jc w:val="left"/>
        <w:rPr>
          <w:rFonts w:ascii="宋体" w:eastAsia="宋体" w:hAnsi="宋体" w:cs="宋体"/>
          <w:color w:val="333333"/>
          <w:kern w:val="0"/>
          <w:sz w:val="24"/>
          <w:szCs w:val="24"/>
        </w:rPr>
      </w:pPr>
      <w:r w:rsidRPr="00526B45">
        <w:rPr>
          <w:rFonts w:ascii="宋体" w:eastAsia="宋体" w:hAnsi="宋体" w:cs="宋体" w:hint="eastAsia"/>
          <w:b/>
          <w:bCs/>
          <w:color w:val="333333"/>
          <w:kern w:val="0"/>
          <w:sz w:val="24"/>
          <w:szCs w:val="24"/>
        </w:rPr>
        <w:t>一、基本情况</w:t>
      </w:r>
    </w:p>
    <w:tbl>
      <w:tblPr>
        <w:tblW w:w="10662" w:type="dxa"/>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0"/>
        <w:gridCol w:w="1249"/>
        <w:gridCol w:w="864"/>
        <w:gridCol w:w="1124"/>
        <w:gridCol w:w="1149"/>
        <w:gridCol w:w="1149"/>
        <w:gridCol w:w="553"/>
        <w:gridCol w:w="736"/>
        <w:gridCol w:w="978"/>
        <w:gridCol w:w="818"/>
        <w:gridCol w:w="786"/>
        <w:gridCol w:w="786"/>
      </w:tblGrid>
      <w:tr w:rsidR="00526B45" w:rsidRPr="00526B45" w:rsidTr="00526B45">
        <w:trPr>
          <w:trHeight w:val="295"/>
          <w:jc w:val="center"/>
        </w:trPr>
        <w:tc>
          <w:tcPr>
            <w:tcW w:w="374"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序号</w:t>
            </w:r>
          </w:p>
        </w:tc>
        <w:tc>
          <w:tcPr>
            <w:tcW w:w="1073"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地块编号</w:t>
            </w:r>
          </w:p>
        </w:tc>
        <w:tc>
          <w:tcPr>
            <w:tcW w:w="1078"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地块位置/名称</w:t>
            </w:r>
          </w:p>
        </w:tc>
        <w:tc>
          <w:tcPr>
            <w:tcW w:w="1401"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四至</w:t>
            </w:r>
          </w:p>
        </w:tc>
        <w:tc>
          <w:tcPr>
            <w:tcW w:w="940"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spacing w:val="-6"/>
                <w:kern w:val="0"/>
                <w:szCs w:val="21"/>
              </w:rPr>
              <w:t>总用地面积</w:t>
            </w:r>
            <w:r w:rsidRPr="00526B45">
              <w:rPr>
                <w:rFonts w:ascii="宋体" w:eastAsia="宋体" w:hAnsi="宋体" w:cs="宋体" w:hint="eastAsia"/>
                <w:b/>
                <w:bCs/>
                <w:color w:val="555555"/>
                <w:kern w:val="0"/>
                <w:szCs w:val="21"/>
              </w:rPr>
              <w:t>（㎡）</w:t>
            </w:r>
          </w:p>
        </w:tc>
        <w:tc>
          <w:tcPr>
            <w:tcW w:w="978"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出让面积</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w:t>
            </w:r>
          </w:p>
        </w:tc>
        <w:tc>
          <w:tcPr>
            <w:tcW w:w="639"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出让</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年限</w:t>
            </w:r>
          </w:p>
        </w:tc>
        <w:tc>
          <w:tcPr>
            <w:tcW w:w="4179" w:type="dxa"/>
            <w:gridSpan w:val="5"/>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规划指标</w:t>
            </w:r>
          </w:p>
        </w:tc>
      </w:tr>
      <w:tr w:rsidR="00526B45" w:rsidRPr="00526B45" w:rsidTr="00526B45">
        <w:trPr>
          <w:trHeight w:val="872"/>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26B45" w:rsidRPr="00526B45" w:rsidRDefault="00526B45" w:rsidP="00526B45">
            <w:pPr>
              <w:widowControl/>
              <w:jc w:val="left"/>
              <w:rPr>
                <w:rFonts w:ascii="宋体" w:eastAsia="宋体" w:hAnsi="宋体" w:cs="宋体"/>
                <w:color w:val="555555"/>
                <w:kern w:val="0"/>
                <w:szCs w:val="21"/>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26B45" w:rsidRPr="00526B45" w:rsidRDefault="00526B45" w:rsidP="00526B45">
            <w:pPr>
              <w:widowControl/>
              <w:jc w:val="left"/>
              <w:rPr>
                <w:rFonts w:ascii="宋体" w:eastAsia="宋体" w:hAnsi="宋体" w:cs="宋体"/>
                <w:color w:val="555555"/>
                <w:kern w:val="0"/>
                <w:szCs w:val="21"/>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26B45" w:rsidRPr="00526B45" w:rsidRDefault="00526B45" w:rsidP="00526B45">
            <w:pPr>
              <w:widowControl/>
              <w:jc w:val="left"/>
              <w:rPr>
                <w:rFonts w:ascii="宋体" w:eastAsia="宋体" w:hAnsi="宋体" w:cs="宋体"/>
                <w:color w:val="555555"/>
                <w:kern w:val="0"/>
                <w:szCs w:val="21"/>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26B45" w:rsidRPr="00526B45" w:rsidRDefault="00526B45" w:rsidP="00526B45">
            <w:pPr>
              <w:widowControl/>
              <w:jc w:val="left"/>
              <w:rPr>
                <w:rFonts w:ascii="宋体" w:eastAsia="宋体" w:hAnsi="宋体" w:cs="宋体"/>
                <w:color w:val="555555"/>
                <w:kern w:val="0"/>
                <w:szCs w:val="21"/>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26B45" w:rsidRPr="00526B45" w:rsidRDefault="00526B45" w:rsidP="00526B45">
            <w:pPr>
              <w:widowControl/>
              <w:jc w:val="left"/>
              <w:rPr>
                <w:rFonts w:ascii="宋体" w:eastAsia="宋体" w:hAnsi="宋体" w:cs="宋体"/>
                <w:color w:val="555555"/>
                <w:kern w:val="0"/>
                <w:szCs w:val="21"/>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26B45" w:rsidRPr="00526B45" w:rsidRDefault="00526B45" w:rsidP="00526B45">
            <w:pPr>
              <w:widowControl/>
              <w:jc w:val="left"/>
              <w:rPr>
                <w:rFonts w:ascii="宋体" w:eastAsia="宋体" w:hAnsi="宋体" w:cs="宋体"/>
                <w:color w:val="555555"/>
                <w:kern w:val="0"/>
                <w:szCs w:val="21"/>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26B45" w:rsidRPr="00526B45" w:rsidRDefault="00526B45" w:rsidP="00526B45">
            <w:pPr>
              <w:widowControl/>
              <w:jc w:val="left"/>
              <w:rPr>
                <w:rFonts w:ascii="宋体" w:eastAsia="宋体" w:hAnsi="宋体" w:cs="宋体"/>
                <w:color w:val="555555"/>
                <w:kern w:val="0"/>
                <w:szCs w:val="21"/>
              </w:rPr>
            </w:pPr>
          </w:p>
        </w:tc>
        <w:tc>
          <w:tcPr>
            <w:tcW w:w="10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规划用地</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性质</w:t>
            </w:r>
          </w:p>
        </w:tc>
        <w:tc>
          <w:tcPr>
            <w:tcW w:w="10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容积率</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建筑</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高度</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（m）</w:t>
            </w:r>
          </w:p>
        </w:tc>
        <w:tc>
          <w:tcPr>
            <w:tcW w:w="6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建筑</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密度</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w:t>
            </w:r>
          </w:p>
        </w:tc>
        <w:tc>
          <w:tcPr>
            <w:tcW w:w="69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绿地率</w:t>
            </w:r>
          </w:p>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w:t>
            </w:r>
          </w:p>
        </w:tc>
      </w:tr>
      <w:tr w:rsidR="00526B45" w:rsidRPr="00526B45" w:rsidTr="00526B45">
        <w:trPr>
          <w:trHeight w:val="1395"/>
          <w:jc w:val="center"/>
        </w:trPr>
        <w:tc>
          <w:tcPr>
            <w:tcW w:w="37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w:t>
            </w:r>
          </w:p>
        </w:tc>
        <w:tc>
          <w:tcPr>
            <w:tcW w:w="10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lef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NO.2019G32</w:t>
            </w:r>
          </w:p>
        </w:tc>
        <w:tc>
          <w:tcPr>
            <w:tcW w:w="10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秦淮区红花街道南部新城应天东街北侧地块</w:t>
            </w:r>
          </w:p>
        </w:tc>
        <w:tc>
          <w:tcPr>
            <w:tcW w:w="14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东至国际路，</w:t>
            </w:r>
            <w:proofErr w:type="gramStart"/>
            <w:r w:rsidRPr="00526B45">
              <w:rPr>
                <w:rFonts w:ascii="宋体" w:eastAsia="宋体" w:hAnsi="宋体" w:cs="宋体" w:hint="eastAsia"/>
                <w:color w:val="555555"/>
                <w:spacing w:val="-6"/>
                <w:kern w:val="0"/>
                <w:szCs w:val="21"/>
              </w:rPr>
              <w:t>南至应天</w:t>
            </w:r>
            <w:proofErr w:type="gramEnd"/>
            <w:r w:rsidRPr="00526B45">
              <w:rPr>
                <w:rFonts w:ascii="宋体" w:eastAsia="宋体" w:hAnsi="宋体" w:cs="宋体" w:hint="eastAsia"/>
                <w:color w:val="555555"/>
                <w:spacing w:val="-6"/>
                <w:kern w:val="0"/>
                <w:szCs w:val="21"/>
              </w:rPr>
              <w:t>东街，西至响水河，北至</w:t>
            </w:r>
            <w:proofErr w:type="gramStart"/>
            <w:r w:rsidRPr="00526B45">
              <w:rPr>
                <w:rFonts w:ascii="宋体" w:eastAsia="宋体" w:hAnsi="宋体" w:cs="宋体" w:hint="eastAsia"/>
                <w:color w:val="555555"/>
                <w:spacing w:val="-6"/>
                <w:kern w:val="0"/>
                <w:szCs w:val="21"/>
              </w:rPr>
              <w:t>怡</w:t>
            </w:r>
            <w:proofErr w:type="gramEnd"/>
            <w:r w:rsidRPr="00526B45">
              <w:rPr>
                <w:rFonts w:ascii="宋体" w:eastAsia="宋体" w:hAnsi="宋体" w:cs="宋体" w:hint="eastAsia"/>
                <w:color w:val="555555"/>
                <w:spacing w:val="-6"/>
                <w:kern w:val="0"/>
                <w:szCs w:val="21"/>
              </w:rPr>
              <w:t>居东路（规划）。</w:t>
            </w:r>
          </w:p>
        </w:tc>
        <w:tc>
          <w:tcPr>
            <w:tcW w:w="94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67507.02</w:t>
            </w:r>
          </w:p>
        </w:tc>
        <w:tc>
          <w:tcPr>
            <w:tcW w:w="9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61918.09</w:t>
            </w:r>
          </w:p>
        </w:tc>
        <w:tc>
          <w:tcPr>
            <w:tcW w:w="6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70年</w:t>
            </w:r>
          </w:p>
        </w:tc>
        <w:tc>
          <w:tcPr>
            <w:tcW w:w="10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R2</w:t>
            </w:r>
            <w:proofErr w:type="gramStart"/>
            <w:r w:rsidRPr="00526B45">
              <w:rPr>
                <w:rFonts w:ascii="宋体" w:eastAsia="宋体" w:hAnsi="宋体" w:cs="宋体" w:hint="eastAsia"/>
                <w:color w:val="555555"/>
                <w:spacing w:val="-6"/>
                <w:kern w:val="0"/>
                <w:szCs w:val="21"/>
              </w:rPr>
              <w:t>二</w:t>
            </w:r>
            <w:proofErr w:type="gramEnd"/>
            <w:r w:rsidRPr="00526B45">
              <w:rPr>
                <w:rFonts w:ascii="宋体" w:eastAsia="宋体" w:hAnsi="宋体" w:cs="宋体" w:hint="eastAsia"/>
                <w:color w:val="555555"/>
                <w:spacing w:val="-6"/>
                <w:kern w:val="0"/>
                <w:szCs w:val="21"/>
              </w:rPr>
              <w:t>类居住用地</w:t>
            </w:r>
          </w:p>
        </w:tc>
        <w:tc>
          <w:tcPr>
            <w:tcW w:w="10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1.0&lt;Far≤2.8</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w:t>
            </w:r>
          </w:p>
        </w:tc>
        <w:tc>
          <w:tcPr>
            <w:tcW w:w="6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≤20</w:t>
            </w:r>
          </w:p>
        </w:tc>
        <w:tc>
          <w:tcPr>
            <w:tcW w:w="69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≥30</w:t>
            </w:r>
          </w:p>
        </w:tc>
      </w:tr>
      <w:tr w:rsidR="00526B45" w:rsidRPr="00526B45" w:rsidTr="00526B45">
        <w:trPr>
          <w:trHeight w:val="1114"/>
          <w:jc w:val="center"/>
        </w:trPr>
        <w:tc>
          <w:tcPr>
            <w:tcW w:w="37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w:t>
            </w:r>
          </w:p>
        </w:tc>
        <w:tc>
          <w:tcPr>
            <w:tcW w:w="10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lef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NO.2019G33</w:t>
            </w:r>
          </w:p>
        </w:tc>
        <w:tc>
          <w:tcPr>
            <w:tcW w:w="10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浦口区江浦</w:t>
            </w:r>
            <w:proofErr w:type="gramStart"/>
            <w:r w:rsidRPr="00526B45">
              <w:rPr>
                <w:rFonts w:ascii="宋体" w:eastAsia="宋体" w:hAnsi="宋体" w:cs="宋体" w:hint="eastAsia"/>
                <w:color w:val="555555"/>
                <w:spacing w:val="-6"/>
                <w:kern w:val="0"/>
                <w:szCs w:val="21"/>
              </w:rPr>
              <w:t>街道华慧</w:t>
            </w:r>
            <w:proofErr w:type="gramEnd"/>
            <w:r w:rsidRPr="00526B45">
              <w:rPr>
                <w:rFonts w:ascii="宋体" w:eastAsia="宋体" w:hAnsi="宋体" w:cs="宋体" w:hint="eastAsia"/>
                <w:color w:val="555555"/>
                <w:spacing w:val="-6"/>
                <w:kern w:val="0"/>
                <w:szCs w:val="21"/>
              </w:rPr>
              <w:t>路以东、绿水</w:t>
            </w:r>
            <w:proofErr w:type="gramStart"/>
            <w:r w:rsidRPr="00526B45">
              <w:rPr>
                <w:rFonts w:ascii="宋体" w:eastAsia="宋体" w:hAnsi="宋体" w:cs="宋体" w:hint="eastAsia"/>
                <w:color w:val="555555"/>
                <w:spacing w:val="-6"/>
                <w:kern w:val="0"/>
                <w:szCs w:val="21"/>
              </w:rPr>
              <w:t>湾路</w:t>
            </w:r>
            <w:proofErr w:type="gramEnd"/>
            <w:r w:rsidRPr="00526B45">
              <w:rPr>
                <w:rFonts w:ascii="宋体" w:eastAsia="宋体" w:hAnsi="宋体" w:cs="宋体" w:hint="eastAsia"/>
                <w:color w:val="555555"/>
                <w:spacing w:val="-6"/>
                <w:kern w:val="0"/>
                <w:szCs w:val="21"/>
              </w:rPr>
              <w:t>以南地块</w:t>
            </w:r>
          </w:p>
        </w:tc>
        <w:tc>
          <w:tcPr>
            <w:tcW w:w="14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东至滨江大道，南至园</w:t>
            </w:r>
            <w:proofErr w:type="gramStart"/>
            <w:r w:rsidRPr="00526B45">
              <w:rPr>
                <w:rFonts w:ascii="宋体" w:eastAsia="宋体" w:hAnsi="宋体" w:cs="宋体" w:hint="eastAsia"/>
                <w:color w:val="555555"/>
                <w:spacing w:val="-6"/>
                <w:kern w:val="0"/>
                <w:szCs w:val="21"/>
              </w:rPr>
              <w:t>特</w:t>
            </w:r>
            <w:proofErr w:type="gramEnd"/>
            <w:r w:rsidRPr="00526B45">
              <w:rPr>
                <w:rFonts w:ascii="宋体" w:eastAsia="宋体" w:hAnsi="宋体" w:cs="宋体" w:hint="eastAsia"/>
                <w:color w:val="555555"/>
                <w:spacing w:val="-6"/>
                <w:kern w:val="0"/>
                <w:szCs w:val="21"/>
              </w:rPr>
              <w:t>路，西</w:t>
            </w:r>
            <w:proofErr w:type="gramStart"/>
            <w:r w:rsidRPr="00526B45">
              <w:rPr>
                <w:rFonts w:ascii="宋体" w:eastAsia="宋体" w:hAnsi="宋体" w:cs="宋体" w:hint="eastAsia"/>
                <w:color w:val="555555"/>
                <w:spacing w:val="-6"/>
                <w:kern w:val="0"/>
                <w:szCs w:val="21"/>
              </w:rPr>
              <w:t>至华慧路</w:t>
            </w:r>
            <w:proofErr w:type="gramEnd"/>
            <w:r w:rsidRPr="00526B45">
              <w:rPr>
                <w:rFonts w:ascii="宋体" w:eastAsia="宋体" w:hAnsi="宋体" w:cs="宋体" w:hint="eastAsia"/>
                <w:color w:val="555555"/>
                <w:spacing w:val="-6"/>
                <w:kern w:val="0"/>
                <w:szCs w:val="21"/>
              </w:rPr>
              <w:t>，北至规划支路。</w:t>
            </w:r>
          </w:p>
        </w:tc>
        <w:tc>
          <w:tcPr>
            <w:tcW w:w="94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233257.02</w:t>
            </w:r>
          </w:p>
        </w:tc>
        <w:tc>
          <w:tcPr>
            <w:tcW w:w="9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233257.02</w:t>
            </w:r>
          </w:p>
        </w:tc>
        <w:tc>
          <w:tcPr>
            <w:tcW w:w="6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住宅70年</w:t>
            </w:r>
          </w:p>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商业40年</w:t>
            </w:r>
          </w:p>
        </w:tc>
        <w:tc>
          <w:tcPr>
            <w:tcW w:w="10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R2</w:t>
            </w:r>
            <w:proofErr w:type="gramStart"/>
            <w:r w:rsidRPr="00526B45">
              <w:rPr>
                <w:rFonts w:ascii="宋体" w:eastAsia="宋体" w:hAnsi="宋体" w:cs="宋体" w:hint="eastAsia"/>
                <w:color w:val="555555"/>
                <w:spacing w:val="-6"/>
                <w:kern w:val="0"/>
                <w:szCs w:val="21"/>
              </w:rPr>
              <w:t>二</w:t>
            </w:r>
            <w:proofErr w:type="gramEnd"/>
            <w:r w:rsidRPr="00526B45">
              <w:rPr>
                <w:rFonts w:ascii="宋体" w:eastAsia="宋体" w:hAnsi="宋体" w:cs="宋体" w:hint="eastAsia"/>
                <w:color w:val="555555"/>
                <w:spacing w:val="-6"/>
                <w:kern w:val="0"/>
                <w:szCs w:val="21"/>
              </w:rPr>
              <w:t>类居住用地</w:t>
            </w:r>
          </w:p>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Bb商办混合用地</w:t>
            </w:r>
          </w:p>
        </w:tc>
        <w:tc>
          <w:tcPr>
            <w:tcW w:w="10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综合容积率：3.01</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w:t>
            </w:r>
          </w:p>
        </w:tc>
        <w:tc>
          <w:tcPr>
            <w:tcW w:w="6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w:t>
            </w:r>
          </w:p>
        </w:tc>
        <w:tc>
          <w:tcPr>
            <w:tcW w:w="69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w:t>
            </w:r>
          </w:p>
        </w:tc>
      </w:tr>
      <w:tr w:rsidR="00526B45" w:rsidRPr="00526B45" w:rsidTr="00526B45">
        <w:trPr>
          <w:trHeight w:val="1114"/>
          <w:jc w:val="center"/>
        </w:trPr>
        <w:tc>
          <w:tcPr>
            <w:tcW w:w="37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w:t>
            </w:r>
          </w:p>
        </w:tc>
        <w:tc>
          <w:tcPr>
            <w:tcW w:w="10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lef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NO.2019G34</w:t>
            </w:r>
          </w:p>
        </w:tc>
        <w:tc>
          <w:tcPr>
            <w:tcW w:w="10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浦口区江浦街道虎桥路以南、</w:t>
            </w:r>
            <w:proofErr w:type="gramStart"/>
            <w:r w:rsidRPr="00526B45">
              <w:rPr>
                <w:rFonts w:ascii="宋体" w:eastAsia="宋体" w:hAnsi="宋体" w:cs="宋体" w:hint="eastAsia"/>
                <w:color w:val="555555"/>
                <w:spacing w:val="-6"/>
                <w:kern w:val="0"/>
                <w:szCs w:val="21"/>
              </w:rPr>
              <w:t>研</w:t>
            </w:r>
            <w:proofErr w:type="gramEnd"/>
            <w:r w:rsidRPr="00526B45">
              <w:rPr>
                <w:rFonts w:ascii="宋体" w:eastAsia="宋体" w:hAnsi="宋体" w:cs="宋体" w:hint="eastAsia"/>
                <w:color w:val="555555"/>
                <w:spacing w:val="-6"/>
                <w:kern w:val="0"/>
                <w:szCs w:val="21"/>
              </w:rPr>
              <w:t>新路以东01地块</w:t>
            </w:r>
          </w:p>
        </w:tc>
        <w:tc>
          <w:tcPr>
            <w:tcW w:w="14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东至规划道路，南至园</w:t>
            </w:r>
            <w:proofErr w:type="gramStart"/>
            <w:r w:rsidRPr="00526B45">
              <w:rPr>
                <w:rFonts w:ascii="宋体" w:eastAsia="宋体" w:hAnsi="宋体" w:cs="宋体" w:hint="eastAsia"/>
                <w:color w:val="555555"/>
                <w:spacing w:val="-6"/>
                <w:kern w:val="0"/>
                <w:szCs w:val="21"/>
              </w:rPr>
              <w:t>特</w:t>
            </w:r>
            <w:proofErr w:type="gramEnd"/>
            <w:r w:rsidRPr="00526B45">
              <w:rPr>
                <w:rFonts w:ascii="宋体" w:eastAsia="宋体" w:hAnsi="宋体" w:cs="宋体" w:hint="eastAsia"/>
                <w:color w:val="555555"/>
                <w:spacing w:val="-6"/>
                <w:kern w:val="0"/>
                <w:szCs w:val="21"/>
              </w:rPr>
              <w:t>路，西至</w:t>
            </w:r>
            <w:proofErr w:type="gramStart"/>
            <w:r w:rsidRPr="00526B45">
              <w:rPr>
                <w:rFonts w:ascii="宋体" w:eastAsia="宋体" w:hAnsi="宋体" w:cs="宋体" w:hint="eastAsia"/>
                <w:color w:val="555555"/>
                <w:spacing w:val="-6"/>
                <w:kern w:val="0"/>
                <w:szCs w:val="21"/>
              </w:rPr>
              <w:t>研</w:t>
            </w:r>
            <w:proofErr w:type="gramEnd"/>
            <w:r w:rsidRPr="00526B45">
              <w:rPr>
                <w:rFonts w:ascii="宋体" w:eastAsia="宋体" w:hAnsi="宋体" w:cs="宋体" w:hint="eastAsia"/>
                <w:color w:val="555555"/>
                <w:spacing w:val="-6"/>
                <w:kern w:val="0"/>
                <w:szCs w:val="21"/>
              </w:rPr>
              <w:t>新路，北至虎桥路。</w:t>
            </w:r>
          </w:p>
        </w:tc>
        <w:tc>
          <w:tcPr>
            <w:tcW w:w="94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66206.72</w:t>
            </w:r>
          </w:p>
        </w:tc>
        <w:tc>
          <w:tcPr>
            <w:tcW w:w="9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66206.72</w:t>
            </w:r>
          </w:p>
        </w:tc>
        <w:tc>
          <w:tcPr>
            <w:tcW w:w="6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住宅70年</w:t>
            </w:r>
          </w:p>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商业40年</w:t>
            </w:r>
          </w:p>
        </w:tc>
        <w:tc>
          <w:tcPr>
            <w:tcW w:w="10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proofErr w:type="spellStart"/>
            <w:r w:rsidRPr="00526B45">
              <w:rPr>
                <w:rFonts w:ascii="宋体" w:eastAsia="宋体" w:hAnsi="宋体" w:cs="宋体" w:hint="eastAsia"/>
                <w:color w:val="555555"/>
                <w:spacing w:val="-6"/>
                <w:kern w:val="0"/>
                <w:szCs w:val="21"/>
              </w:rPr>
              <w:t>Rb</w:t>
            </w:r>
            <w:proofErr w:type="spellEnd"/>
            <w:r w:rsidRPr="00526B45">
              <w:rPr>
                <w:rFonts w:ascii="宋体" w:eastAsia="宋体" w:hAnsi="宋体" w:cs="宋体" w:hint="eastAsia"/>
                <w:color w:val="555555"/>
                <w:spacing w:val="-6"/>
                <w:kern w:val="0"/>
                <w:szCs w:val="21"/>
              </w:rPr>
              <w:t>商住混合用地</w:t>
            </w:r>
          </w:p>
        </w:tc>
        <w:tc>
          <w:tcPr>
            <w:tcW w:w="10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1.01≤Far≤2.8</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w:t>
            </w:r>
          </w:p>
        </w:tc>
        <w:tc>
          <w:tcPr>
            <w:tcW w:w="6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≤35</w:t>
            </w:r>
          </w:p>
        </w:tc>
        <w:tc>
          <w:tcPr>
            <w:tcW w:w="69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≥30</w:t>
            </w:r>
          </w:p>
        </w:tc>
      </w:tr>
      <w:tr w:rsidR="00526B45" w:rsidRPr="00526B45" w:rsidTr="00526B45">
        <w:trPr>
          <w:trHeight w:val="1127"/>
          <w:jc w:val="center"/>
        </w:trPr>
        <w:tc>
          <w:tcPr>
            <w:tcW w:w="37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4</w:t>
            </w:r>
          </w:p>
        </w:tc>
        <w:tc>
          <w:tcPr>
            <w:tcW w:w="10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lef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NO.2019G35</w:t>
            </w:r>
          </w:p>
        </w:tc>
        <w:tc>
          <w:tcPr>
            <w:tcW w:w="10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浦口区江浦街道浦云路以东、</w:t>
            </w:r>
            <w:proofErr w:type="gramStart"/>
            <w:r w:rsidRPr="00526B45">
              <w:rPr>
                <w:rFonts w:ascii="宋体" w:eastAsia="宋体" w:hAnsi="宋体" w:cs="宋体" w:hint="eastAsia"/>
                <w:color w:val="555555"/>
                <w:spacing w:val="-6"/>
                <w:kern w:val="0"/>
                <w:szCs w:val="21"/>
              </w:rPr>
              <w:t>紫创路</w:t>
            </w:r>
            <w:proofErr w:type="gramEnd"/>
            <w:r w:rsidRPr="00526B45">
              <w:rPr>
                <w:rFonts w:ascii="宋体" w:eastAsia="宋体" w:hAnsi="宋体" w:cs="宋体" w:hint="eastAsia"/>
                <w:color w:val="555555"/>
                <w:spacing w:val="-6"/>
                <w:kern w:val="0"/>
                <w:szCs w:val="21"/>
              </w:rPr>
              <w:t>以南02地块</w:t>
            </w:r>
          </w:p>
        </w:tc>
        <w:tc>
          <w:tcPr>
            <w:tcW w:w="14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东至</w:t>
            </w:r>
            <w:proofErr w:type="gramStart"/>
            <w:r w:rsidRPr="00526B45">
              <w:rPr>
                <w:rFonts w:ascii="宋体" w:eastAsia="宋体" w:hAnsi="宋体" w:cs="宋体" w:hint="eastAsia"/>
                <w:color w:val="555555"/>
                <w:spacing w:val="-6"/>
                <w:kern w:val="0"/>
                <w:szCs w:val="21"/>
              </w:rPr>
              <w:t>象</w:t>
            </w:r>
            <w:proofErr w:type="gramEnd"/>
            <w:r w:rsidRPr="00526B45">
              <w:rPr>
                <w:rFonts w:ascii="宋体" w:eastAsia="宋体" w:hAnsi="宋体" w:cs="宋体" w:hint="eastAsia"/>
                <w:color w:val="555555"/>
                <w:spacing w:val="-6"/>
                <w:kern w:val="0"/>
                <w:szCs w:val="21"/>
              </w:rPr>
              <w:t>贤路，南</w:t>
            </w:r>
            <w:proofErr w:type="gramStart"/>
            <w:r w:rsidRPr="00526B45">
              <w:rPr>
                <w:rFonts w:ascii="宋体" w:eastAsia="宋体" w:hAnsi="宋体" w:cs="宋体" w:hint="eastAsia"/>
                <w:color w:val="555555"/>
                <w:spacing w:val="-6"/>
                <w:kern w:val="0"/>
                <w:szCs w:val="21"/>
              </w:rPr>
              <w:t>至园腾路</w:t>
            </w:r>
            <w:proofErr w:type="gramEnd"/>
            <w:r w:rsidRPr="00526B45">
              <w:rPr>
                <w:rFonts w:ascii="宋体" w:eastAsia="宋体" w:hAnsi="宋体" w:cs="宋体" w:hint="eastAsia"/>
                <w:color w:val="555555"/>
                <w:spacing w:val="-6"/>
                <w:kern w:val="0"/>
                <w:szCs w:val="21"/>
              </w:rPr>
              <w:t>，西</w:t>
            </w:r>
            <w:proofErr w:type="gramStart"/>
            <w:r w:rsidRPr="00526B45">
              <w:rPr>
                <w:rFonts w:ascii="宋体" w:eastAsia="宋体" w:hAnsi="宋体" w:cs="宋体" w:hint="eastAsia"/>
                <w:color w:val="555555"/>
                <w:spacing w:val="-6"/>
                <w:kern w:val="0"/>
                <w:szCs w:val="21"/>
              </w:rPr>
              <w:t>至规划</w:t>
            </w:r>
            <w:proofErr w:type="gramEnd"/>
            <w:r w:rsidRPr="00526B45">
              <w:rPr>
                <w:rFonts w:ascii="宋体" w:eastAsia="宋体" w:hAnsi="宋体" w:cs="宋体" w:hint="eastAsia"/>
                <w:color w:val="555555"/>
                <w:spacing w:val="-6"/>
                <w:kern w:val="0"/>
                <w:szCs w:val="21"/>
              </w:rPr>
              <w:t>道路，北至</w:t>
            </w:r>
            <w:proofErr w:type="gramStart"/>
            <w:r w:rsidRPr="00526B45">
              <w:rPr>
                <w:rFonts w:ascii="宋体" w:eastAsia="宋体" w:hAnsi="宋体" w:cs="宋体" w:hint="eastAsia"/>
                <w:color w:val="555555"/>
                <w:spacing w:val="-6"/>
                <w:kern w:val="0"/>
                <w:szCs w:val="21"/>
              </w:rPr>
              <w:t>紫创路</w:t>
            </w:r>
            <w:proofErr w:type="gramEnd"/>
            <w:r w:rsidRPr="00526B45">
              <w:rPr>
                <w:rFonts w:ascii="宋体" w:eastAsia="宋体" w:hAnsi="宋体" w:cs="宋体" w:hint="eastAsia"/>
                <w:color w:val="555555"/>
                <w:spacing w:val="-6"/>
                <w:kern w:val="0"/>
                <w:szCs w:val="21"/>
              </w:rPr>
              <w:t>。</w:t>
            </w:r>
          </w:p>
        </w:tc>
        <w:tc>
          <w:tcPr>
            <w:tcW w:w="94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78891.53</w:t>
            </w:r>
          </w:p>
        </w:tc>
        <w:tc>
          <w:tcPr>
            <w:tcW w:w="9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78891.53</w:t>
            </w:r>
          </w:p>
        </w:tc>
        <w:tc>
          <w:tcPr>
            <w:tcW w:w="6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70年</w:t>
            </w:r>
          </w:p>
        </w:tc>
        <w:tc>
          <w:tcPr>
            <w:tcW w:w="10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R2</w:t>
            </w:r>
            <w:proofErr w:type="gramStart"/>
            <w:r w:rsidRPr="00526B45">
              <w:rPr>
                <w:rFonts w:ascii="宋体" w:eastAsia="宋体" w:hAnsi="宋体" w:cs="宋体" w:hint="eastAsia"/>
                <w:color w:val="555555"/>
                <w:spacing w:val="-6"/>
                <w:kern w:val="0"/>
                <w:szCs w:val="21"/>
              </w:rPr>
              <w:t>二</w:t>
            </w:r>
            <w:proofErr w:type="gramEnd"/>
            <w:r w:rsidRPr="00526B45">
              <w:rPr>
                <w:rFonts w:ascii="宋体" w:eastAsia="宋体" w:hAnsi="宋体" w:cs="宋体" w:hint="eastAsia"/>
                <w:color w:val="555555"/>
                <w:spacing w:val="-6"/>
                <w:kern w:val="0"/>
                <w:szCs w:val="21"/>
              </w:rPr>
              <w:t>类居住用地</w:t>
            </w:r>
          </w:p>
        </w:tc>
        <w:tc>
          <w:tcPr>
            <w:tcW w:w="10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1.01≤Far≤2.7</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60≤H≤100</w:t>
            </w:r>
          </w:p>
        </w:tc>
        <w:tc>
          <w:tcPr>
            <w:tcW w:w="6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≤20</w:t>
            </w:r>
          </w:p>
        </w:tc>
        <w:tc>
          <w:tcPr>
            <w:tcW w:w="69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≥35</w:t>
            </w:r>
          </w:p>
        </w:tc>
      </w:tr>
      <w:tr w:rsidR="00526B45" w:rsidRPr="00526B45" w:rsidTr="00526B45">
        <w:trPr>
          <w:trHeight w:val="1114"/>
          <w:jc w:val="center"/>
        </w:trPr>
        <w:tc>
          <w:tcPr>
            <w:tcW w:w="37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lastRenderedPageBreak/>
              <w:t>5</w:t>
            </w:r>
          </w:p>
        </w:tc>
        <w:tc>
          <w:tcPr>
            <w:tcW w:w="10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lef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NO.2019G36</w:t>
            </w:r>
          </w:p>
        </w:tc>
        <w:tc>
          <w:tcPr>
            <w:tcW w:w="10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栖霞区经济技术开发区</w:t>
            </w:r>
            <w:proofErr w:type="gramStart"/>
            <w:r w:rsidRPr="00526B45">
              <w:rPr>
                <w:rFonts w:ascii="宋体" w:eastAsia="宋体" w:hAnsi="宋体" w:cs="宋体" w:hint="eastAsia"/>
                <w:color w:val="555555"/>
                <w:spacing w:val="-6"/>
                <w:kern w:val="0"/>
                <w:szCs w:val="21"/>
              </w:rPr>
              <w:t>兴智科技</w:t>
            </w:r>
            <w:proofErr w:type="gramEnd"/>
            <w:r w:rsidRPr="00526B45">
              <w:rPr>
                <w:rFonts w:ascii="宋体" w:eastAsia="宋体" w:hAnsi="宋体" w:cs="宋体" w:hint="eastAsia"/>
                <w:color w:val="555555"/>
                <w:spacing w:val="-6"/>
                <w:kern w:val="0"/>
                <w:szCs w:val="21"/>
              </w:rPr>
              <w:t>城地块二</w:t>
            </w:r>
          </w:p>
        </w:tc>
        <w:tc>
          <w:tcPr>
            <w:tcW w:w="14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东至规划兴盟路，南至栖霞大道，西</w:t>
            </w:r>
            <w:proofErr w:type="gramStart"/>
            <w:r w:rsidRPr="00526B45">
              <w:rPr>
                <w:rFonts w:ascii="宋体" w:eastAsia="宋体" w:hAnsi="宋体" w:cs="宋体" w:hint="eastAsia"/>
                <w:color w:val="555555"/>
                <w:spacing w:val="-6"/>
                <w:kern w:val="0"/>
                <w:szCs w:val="21"/>
              </w:rPr>
              <w:t>至规划</w:t>
            </w:r>
            <w:proofErr w:type="gramEnd"/>
            <w:r w:rsidRPr="00526B45">
              <w:rPr>
                <w:rFonts w:ascii="宋体" w:eastAsia="宋体" w:hAnsi="宋体" w:cs="宋体" w:hint="eastAsia"/>
                <w:color w:val="555555"/>
                <w:spacing w:val="-6"/>
                <w:kern w:val="0"/>
                <w:szCs w:val="21"/>
              </w:rPr>
              <w:t>兴德路，北至规划恒发路。</w:t>
            </w:r>
          </w:p>
        </w:tc>
        <w:tc>
          <w:tcPr>
            <w:tcW w:w="94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121992.30</w:t>
            </w:r>
          </w:p>
        </w:tc>
        <w:tc>
          <w:tcPr>
            <w:tcW w:w="9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91380.82</w:t>
            </w:r>
          </w:p>
        </w:tc>
        <w:tc>
          <w:tcPr>
            <w:tcW w:w="6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70年</w:t>
            </w:r>
          </w:p>
        </w:tc>
        <w:tc>
          <w:tcPr>
            <w:tcW w:w="10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R2</w:t>
            </w:r>
            <w:proofErr w:type="gramStart"/>
            <w:r w:rsidRPr="00526B45">
              <w:rPr>
                <w:rFonts w:ascii="宋体" w:eastAsia="宋体" w:hAnsi="宋体" w:cs="宋体" w:hint="eastAsia"/>
                <w:color w:val="555555"/>
                <w:spacing w:val="-6"/>
                <w:kern w:val="0"/>
                <w:szCs w:val="21"/>
              </w:rPr>
              <w:t>二</w:t>
            </w:r>
            <w:proofErr w:type="gramEnd"/>
            <w:r w:rsidRPr="00526B45">
              <w:rPr>
                <w:rFonts w:ascii="宋体" w:eastAsia="宋体" w:hAnsi="宋体" w:cs="宋体" w:hint="eastAsia"/>
                <w:color w:val="555555"/>
                <w:spacing w:val="-6"/>
                <w:kern w:val="0"/>
                <w:szCs w:val="21"/>
              </w:rPr>
              <w:t>类居住用地</w:t>
            </w:r>
          </w:p>
        </w:tc>
        <w:tc>
          <w:tcPr>
            <w:tcW w:w="10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1.01≤Far≤2.5</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≤80</w:t>
            </w:r>
          </w:p>
        </w:tc>
        <w:tc>
          <w:tcPr>
            <w:tcW w:w="6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≤25</w:t>
            </w:r>
          </w:p>
        </w:tc>
        <w:tc>
          <w:tcPr>
            <w:tcW w:w="69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≥30</w:t>
            </w:r>
          </w:p>
        </w:tc>
      </w:tr>
      <w:tr w:rsidR="00526B45" w:rsidRPr="00526B45" w:rsidTr="00526B45">
        <w:trPr>
          <w:trHeight w:val="1677"/>
          <w:jc w:val="center"/>
        </w:trPr>
        <w:tc>
          <w:tcPr>
            <w:tcW w:w="37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2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6</w:t>
            </w:r>
          </w:p>
        </w:tc>
        <w:tc>
          <w:tcPr>
            <w:tcW w:w="10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lef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NO.2019G37</w:t>
            </w:r>
          </w:p>
        </w:tc>
        <w:tc>
          <w:tcPr>
            <w:tcW w:w="10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栖霞区燕子</w:t>
            </w:r>
            <w:proofErr w:type="gramStart"/>
            <w:r w:rsidRPr="00526B45">
              <w:rPr>
                <w:rFonts w:ascii="宋体" w:eastAsia="宋体" w:hAnsi="宋体" w:cs="宋体" w:hint="eastAsia"/>
                <w:color w:val="555555"/>
                <w:spacing w:val="-6"/>
                <w:kern w:val="0"/>
                <w:szCs w:val="21"/>
              </w:rPr>
              <w:t>矶</w:t>
            </w:r>
            <w:proofErr w:type="gramEnd"/>
            <w:r w:rsidRPr="00526B45">
              <w:rPr>
                <w:rFonts w:ascii="宋体" w:eastAsia="宋体" w:hAnsi="宋体" w:cs="宋体" w:hint="eastAsia"/>
                <w:color w:val="555555"/>
                <w:spacing w:val="-6"/>
                <w:kern w:val="0"/>
                <w:szCs w:val="21"/>
              </w:rPr>
              <w:t>街道太新路和经五路夹角地块</w:t>
            </w:r>
          </w:p>
        </w:tc>
        <w:tc>
          <w:tcPr>
            <w:tcW w:w="140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东至规划</w:t>
            </w:r>
            <w:proofErr w:type="gramStart"/>
            <w:r w:rsidRPr="00526B45">
              <w:rPr>
                <w:rFonts w:ascii="宋体" w:eastAsia="宋体" w:hAnsi="宋体" w:cs="宋体" w:hint="eastAsia"/>
                <w:color w:val="555555"/>
                <w:spacing w:val="-6"/>
                <w:kern w:val="0"/>
                <w:szCs w:val="21"/>
              </w:rPr>
              <w:t>怡</w:t>
            </w:r>
            <w:proofErr w:type="gramEnd"/>
            <w:r w:rsidRPr="00526B45">
              <w:rPr>
                <w:rFonts w:ascii="宋体" w:eastAsia="宋体" w:hAnsi="宋体" w:cs="宋体" w:hint="eastAsia"/>
                <w:color w:val="555555"/>
                <w:spacing w:val="-6"/>
                <w:kern w:val="0"/>
                <w:szCs w:val="21"/>
              </w:rPr>
              <w:t>园东路，南</w:t>
            </w:r>
            <w:proofErr w:type="gramStart"/>
            <w:r w:rsidRPr="00526B45">
              <w:rPr>
                <w:rFonts w:ascii="宋体" w:eastAsia="宋体" w:hAnsi="宋体" w:cs="宋体" w:hint="eastAsia"/>
                <w:color w:val="555555"/>
                <w:spacing w:val="-6"/>
                <w:kern w:val="0"/>
                <w:szCs w:val="21"/>
              </w:rPr>
              <w:t>至规划</w:t>
            </w:r>
            <w:proofErr w:type="gramEnd"/>
            <w:r w:rsidRPr="00526B45">
              <w:rPr>
                <w:rFonts w:ascii="宋体" w:eastAsia="宋体" w:hAnsi="宋体" w:cs="宋体" w:hint="eastAsia"/>
                <w:color w:val="555555"/>
                <w:spacing w:val="-6"/>
                <w:kern w:val="0"/>
                <w:szCs w:val="21"/>
              </w:rPr>
              <w:t>松花江路，西</w:t>
            </w:r>
            <w:proofErr w:type="gramStart"/>
            <w:r w:rsidRPr="00526B45">
              <w:rPr>
                <w:rFonts w:ascii="宋体" w:eastAsia="宋体" w:hAnsi="宋体" w:cs="宋体" w:hint="eastAsia"/>
                <w:color w:val="555555"/>
                <w:spacing w:val="-6"/>
                <w:kern w:val="0"/>
                <w:szCs w:val="21"/>
              </w:rPr>
              <w:t>至燕城大道</w:t>
            </w:r>
            <w:proofErr w:type="gramEnd"/>
            <w:r w:rsidRPr="00526B45">
              <w:rPr>
                <w:rFonts w:ascii="宋体" w:eastAsia="宋体" w:hAnsi="宋体" w:cs="宋体" w:hint="eastAsia"/>
                <w:color w:val="555555"/>
                <w:spacing w:val="-6"/>
                <w:kern w:val="0"/>
                <w:szCs w:val="21"/>
              </w:rPr>
              <w:t>，北至太新路。</w:t>
            </w:r>
          </w:p>
        </w:tc>
        <w:tc>
          <w:tcPr>
            <w:tcW w:w="94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84175.07</w:t>
            </w:r>
          </w:p>
        </w:tc>
        <w:tc>
          <w:tcPr>
            <w:tcW w:w="97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73842.61</w:t>
            </w:r>
          </w:p>
        </w:tc>
        <w:tc>
          <w:tcPr>
            <w:tcW w:w="63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住宅70年</w:t>
            </w:r>
          </w:p>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商业40年</w:t>
            </w:r>
          </w:p>
        </w:tc>
        <w:tc>
          <w:tcPr>
            <w:tcW w:w="100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proofErr w:type="spellStart"/>
            <w:r w:rsidRPr="00526B45">
              <w:rPr>
                <w:rFonts w:ascii="宋体" w:eastAsia="宋体" w:hAnsi="宋体" w:cs="宋体" w:hint="eastAsia"/>
                <w:color w:val="555555"/>
                <w:spacing w:val="-6"/>
                <w:kern w:val="0"/>
                <w:szCs w:val="21"/>
              </w:rPr>
              <w:t>Rb</w:t>
            </w:r>
            <w:proofErr w:type="spellEnd"/>
            <w:r w:rsidRPr="00526B45">
              <w:rPr>
                <w:rFonts w:ascii="宋体" w:eastAsia="宋体" w:hAnsi="宋体" w:cs="宋体" w:hint="eastAsia"/>
                <w:color w:val="555555"/>
                <w:spacing w:val="-6"/>
                <w:kern w:val="0"/>
                <w:szCs w:val="21"/>
              </w:rPr>
              <w:t>商住混合用地</w:t>
            </w:r>
          </w:p>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R2</w:t>
            </w:r>
            <w:proofErr w:type="gramStart"/>
            <w:r w:rsidRPr="00526B45">
              <w:rPr>
                <w:rFonts w:ascii="宋体" w:eastAsia="宋体" w:hAnsi="宋体" w:cs="宋体" w:hint="eastAsia"/>
                <w:color w:val="555555"/>
                <w:spacing w:val="-6"/>
                <w:kern w:val="0"/>
                <w:szCs w:val="21"/>
              </w:rPr>
              <w:t>二</w:t>
            </w:r>
            <w:proofErr w:type="gramEnd"/>
            <w:r w:rsidRPr="00526B45">
              <w:rPr>
                <w:rFonts w:ascii="宋体" w:eastAsia="宋体" w:hAnsi="宋体" w:cs="宋体" w:hint="eastAsia"/>
                <w:color w:val="555555"/>
                <w:spacing w:val="-6"/>
                <w:kern w:val="0"/>
                <w:szCs w:val="21"/>
              </w:rPr>
              <w:t>类居住用地</w:t>
            </w:r>
          </w:p>
        </w:tc>
        <w:tc>
          <w:tcPr>
            <w:tcW w:w="100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综合容积率：2.88</w:t>
            </w:r>
          </w:p>
        </w:tc>
        <w:tc>
          <w:tcPr>
            <w:tcW w:w="85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50≤H≤100</w:t>
            </w:r>
          </w:p>
        </w:tc>
        <w:tc>
          <w:tcPr>
            <w:tcW w:w="62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w:t>
            </w:r>
          </w:p>
        </w:tc>
        <w:tc>
          <w:tcPr>
            <w:tcW w:w="690"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0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w:t>
            </w:r>
          </w:p>
        </w:tc>
      </w:tr>
    </w:tbl>
    <w:p w:rsidR="00526B45" w:rsidRPr="00526B45" w:rsidRDefault="00526B45" w:rsidP="00526B45">
      <w:pPr>
        <w:widowControl/>
        <w:shd w:val="clear" w:color="auto" w:fill="FFFFFF"/>
        <w:spacing w:before="50" w:line="340" w:lineRule="atLeast"/>
        <w:ind w:right="-193" w:firstLine="540"/>
        <w:jc w:val="left"/>
        <w:rPr>
          <w:rFonts w:ascii="宋体" w:eastAsia="宋体" w:hAnsi="宋体" w:cs="宋体"/>
          <w:color w:val="333333"/>
          <w:kern w:val="0"/>
          <w:szCs w:val="21"/>
        </w:rPr>
      </w:pPr>
      <w:r w:rsidRPr="00526B45">
        <w:rPr>
          <w:rFonts w:ascii="宋体" w:eastAsia="宋体" w:hAnsi="宋体" w:cs="宋体" w:hint="eastAsia"/>
          <w:b/>
          <w:bCs/>
          <w:color w:val="333333"/>
          <w:kern w:val="0"/>
          <w:szCs w:val="21"/>
        </w:rPr>
        <w:t>二、出让价格</w:t>
      </w:r>
    </w:p>
    <w:tbl>
      <w:tblPr>
        <w:tblW w:w="10198" w:type="dxa"/>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37"/>
        <w:gridCol w:w="2027"/>
        <w:gridCol w:w="2027"/>
        <w:gridCol w:w="1979"/>
        <w:gridCol w:w="2028"/>
      </w:tblGrid>
      <w:tr w:rsidR="00526B45" w:rsidRPr="00526B45" w:rsidTr="00526B45">
        <w:trPr>
          <w:trHeight w:val="360"/>
          <w:jc w:val="center"/>
        </w:trPr>
        <w:tc>
          <w:tcPr>
            <w:tcW w:w="213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b/>
                <w:bCs/>
                <w:color w:val="555555"/>
                <w:kern w:val="0"/>
                <w:szCs w:val="21"/>
              </w:rPr>
              <w:t>地块编号</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left"/>
              <w:rPr>
                <w:rFonts w:ascii="宋体" w:eastAsia="宋体" w:hAnsi="宋体" w:cs="宋体"/>
                <w:color w:val="555555"/>
                <w:kern w:val="0"/>
                <w:szCs w:val="21"/>
              </w:rPr>
            </w:pPr>
            <w:r w:rsidRPr="00526B45">
              <w:rPr>
                <w:rFonts w:ascii="宋体" w:eastAsia="宋体" w:hAnsi="宋体" w:cs="宋体" w:hint="eastAsia"/>
                <w:b/>
                <w:bCs/>
                <w:color w:val="555555"/>
                <w:kern w:val="0"/>
                <w:szCs w:val="21"/>
              </w:rPr>
              <w:t>起始价（万元）</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left"/>
              <w:rPr>
                <w:rFonts w:ascii="宋体" w:eastAsia="宋体" w:hAnsi="宋体" w:cs="宋体"/>
                <w:color w:val="555555"/>
                <w:kern w:val="0"/>
                <w:szCs w:val="21"/>
              </w:rPr>
            </w:pPr>
            <w:r w:rsidRPr="00526B45">
              <w:rPr>
                <w:rFonts w:ascii="宋体" w:eastAsia="宋体" w:hAnsi="宋体" w:cs="宋体" w:hint="eastAsia"/>
                <w:b/>
                <w:bCs/>
                <w:color w:val="555555"/>
                <w:spacing w:val="-20"/>
                <w:kern w:val="0"/>
                <w:szCs w:val="21"/>
              </w:rPr>
              <w:t>最高限价</w:t>
            </w:r>
            <w:r w:rsidRPr="00526B45">
              <w:rPr>
                <w:rFonts w:ascii="宋体" w:eastAsia="宋体" w:hAnsi="宋体" w:cs="宋体" w:hint="eastAsia"/>
                <w:b/>
                <w:bCs/>
                <w:color w:val="555555"/>
                <w:kern w:val="0"/>
                <w:szCs w:val="21"/>
              </w:rPr>
              <w:t>（万元）</w:t>
            </w:r>
          </w:p>
        </w:tc>
        <w:tc>
          <w:tcPr>
            <w:tcW w:w="197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rPr>
                <w:rFonts w:ascii="宋体" w:eastAsia="宋体" w:hAnsi="宋体" w:cs="宋体"/>
                <w:color w:val="555555"/>
                <w:kern w:val="0"/>
                <w:szCs w:val="21"/>
              </w:rPr>
            </w:pPr>
            <w:r w:rsidRPr="00526B45">
              <w:rPr>
                <w:rFonts w:ascii="宋体" w:eastAsia="宋体" w:hAnsi="宋体" w:cs="宋体" w:hint="eastAsia"/>
                <w:b/>
                <w:bCs/>
                <w:color w:val="555555"/>
                <w:kern w:val="0"/>
                <w:szCs w:val="21"/>
              </w:rPr>
              <w:t>加价幅度（万元）</w:t>
            </w:r>
          </w:p>
        </w:tc>
        <w:tc>
          <w:tcPr>
            <w:tcW w:w="202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rPr>
                <w:rFonts w:ascii="宋体" w:eastAsia="宋体" w:hAnsi="宋体" w:cs="宋体"/>
                <w:color w:val="555555"/>
                <w:kern w:val="0"/>
                <w:szCs w:val="21"/>
              </w:rPr>
            </w:pPr>
            <w:r w:rsidRPr="00526B45">
              <w:rPr>
                <w:rFonts w:ascii="宋体" w:eastAsia="宋体" w:hAnsi="宋体" w:cs="宋体" w:hint="eastAsia"/>
                <w:b/>
                <w:bCs/>
                <w:color w:val="555555"/>
                <w:spacing w:val="-20"/>
                <w:kern w:val="0"/>
                <w:szCs w:val="21"/>
              </w:rPr>
              <w:t>竞买保证金</w:t>
            </w:r>
            <w:r w:rsidRPr="00526B45">
              <w:rPr>
                <w:rFonts w:ascii="宋体" w:eastAsia="宋体" w:hAnsi="宋体" w:cs="宋体" w:hint="eastAsia"/>
                <w:b/>
                <w:bCs/>
                <w:color w:val="555555"/>
                <w:kern w:val="0"/>
                <w:szCs w:val="21"/>
              </w:rPr>
              <w:t>（万元）</w:t>
            </w:r>
          </w:p>
        </w:tc>
      </w:tr>
      <w:tr w:rsidR="00526B45" w:rsidRPr="00526B45" w:rsidTr="00526B45">
        <w:trPr>
          <w:trHeight w:val="360"/>
          <w:jc w:val="center"/>
        </w:trPr>
        <w:tc>
          <w:tcPr>
            <w:tcW w:w="213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NO.2019G32</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387000</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555000</w:t>
            </w:r>
          </w:p>
        </w:tc>
        <w:tc>
          <w:tcPr>
            <w:tcW w:w="197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1000</w:t>
            </w:r>
          </w:p>
        </w:tc>
        <w:tc>
          <w:tcPr>
            <w:tcW w:w="202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116100</w:t>
            </w:r>
          </w:p>
        </w:tc>
      </w:tr>
      <w:tr w:rsidR="00526B45" w:rsidRPr="00526B45" w:rsidTr="00526B45">
        <w:trPr>
          <w:trHeight w:val="345"/>
          <w:jc w:val="center"/>
        </w:trPr>
        <w:tc>
          <w:tcPr>
            <w:tcW w:w="213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NO.2019G33</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375000</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543000</w:t>
            </w:r>
          </w:p>
        </w:tc>
        <w:tc>
          <w:tcPr>
            <w:tcW w:w="197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1000</w:t>
            </w:r>
          </w:p>
        </w:tc>
        <w:tc>
          <w:tcPr>
            <w:tcW w:w="202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75000</w:t>
            </w:r>
          </w:p>
        </w:tc>
      </w:tr>
      <w:tr w:rsidR="00526B45" w:rsidRPr="00526B45" w:rsidTr="00526B45">
        <w:trPr>
          <w:trHeight w:val="360"/>
          <w:jc w:val="center"/>
        </w:trPr>
        <w:tc>
          <w:tcPr>
            <w:tcW w:w="213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NO.2019G34</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210000</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304000</w:t>
            </w:r>
          </w:p>
        </w:tc>
        <w:tc>
          <w:tcPr>
            <w:tcW w:w="197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1000</w:t>
            </w:r>
          </w:p>
        </w:tc>
        <w:tc>
          <w:tcPr>
            <w:tcW w:w="202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42000</w:t>
            </w:r>
          </w:p>
        </w:tc>
      </w:tr>
      <w:tr w:rsidR="00526B45" w:rsidRPr="00526B45" w:rsidTr="00526B45">
        <w:trPr>
          <w:trHeight w:val="360"/>
          <w:jc w:val="center"/>
        </w:trPr>
        <w:tc>
          <w:tcPr>
            <w:tcW w:w="213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NO.2019G35</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245000</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355000</w:t>
            </w:r>
          </w:p>
        </w:tc>
        <w:tc>
          <w:tcPr>
            <w:tcW w:w="197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1000</w:t>
            </w:r>
          </w:p>
        </w:tc>
        <w:tc>
          <w:tcPr>
            <w:tcW w:w="202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49000</w:t>
            </w:r>
          </w:p>
        </w:tc>
      </w:tr>
      <w:tr w:rsidR="00526B45" w:rsidRPr="00526B45" w:rsidTr="00526B45">
        <w:trPr>
          <w:trHeight w:val="345"/>
          <w:jc w:val="center"/>
        </w:trPr>
        <w:tc>
          <w:tcPr>
            <w:tcW w:w="213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NO.2019G36</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294000</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456000</w:t>
            </w:r>
          </w:p>
        </w:tc>
        <w:tc>
          <w:tcPr>
            <w:tcW w:w="197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1000</w:t>
            </w:r>
          </w:p>
        </w:tc>
        <w:tc>
          <w:tcPr>
            <w:tcW w:w="202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58800</w:t>
            </w:r>
          </w:p>
        </w:tc>
      </w:tr>
      <w:tr w:rsidR="00526B45" w:rsidRPr="00526B45" w:rsidTr="00526B45">
        <w:trPr>
          <w:trHeight w:val="360"/>
          <w:jc w:val="center"/>
        </w:trPr>
        <w:tc>
          <w:tcPr>
            <w:tcW w:w="213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NO.2019G37</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315000</w:t>
            </w:r>
          </w:p>
        </w:tc>
        <w:tc>
          <w:tcPr>
            <w:tcW w:w="20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447000</w:t>
            </w:r>
          </w:p>
        </w:tc>
        <w:tc>
          <w:tcPr>
            <w:tcW w:w="197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1000</w:t>
            </w:r>
          </w:p>
        </w:tc>
        <w:tc>
          <w:tcPr>
            <w:tcW w:w="2028"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rsidR="00526B45" w:rsidRPr="00526B45" w:rsidRDefault="00526B45" w:rsidP="00526B45">
            <w:pPr>
              <w:widowControl/>
              <w:spacing w:line="340" w:lineRule="atLeast"/>
              <w:jc w:val="center"/>
              <w:rPr>
                <w:rFonts w:ascii="宋体" w:eastAsia="宋体" w:hAnsi="宋体" w:cs="宋体"/>
                <w:color w:val="555555"/>
                <w:kern w:val="0"/>
                <w:szCs w:val="21"/>
              </w:rPr>
            </w:pPr>
            <w:r w:rsidRPr="00526B45">
              <w:rPr>
                <w:rFonts w:ascii="宋体" w:eastAsia="宋体" w:hAnsi="宋体" w:cs="宋体" w:hint="eastAsia"/>
                <w:color w:val="555555"/>
                <w:spacing w:val="-6"/>
                <w:kern w:val="0"/>
                <w:szCs w:val="21"/>
              </w:rPr>
              <w:t>63000</w:t>
            </w:r>
          </w:p>
        </w:tc>
      </w:tr>
    </w:tbl>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三、出让条件</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NO.2019G32:</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（1）该地块不接受联合竞买。</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（2）地块商业服务配套设施（含物业设施）不得大于地上总建筑面积的3%。</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（3）地块须配建建筑面积不小于8450平方米的人才房，</w:t>
      </w:r>
      <w:proofErr w:type="gramStart"/>
      <w:r w:rsidRPr="00526B45">
        <w:rPr>
          <w:rFonts w:ascii="宋体" w:eastAsia="宋体" w:hAnsi="宋体" w:cs="宋体" w:hint="eastAsia"/>
          <w:color w:val="333333"/>
          <w:kern w:val="0"/>
          <w:szCs w:val="21"/>
        </w:rPr>
        <w:t>由竞得</w:t>
      </w:r>
      <w:proofErr w:type="gramEnd"/>
      <w:r w:rsidRPr="00526B45">
        <w:rPr>
          <w:rFonts w:ascii="宋体" w:eastAsia="宋体" w:hAnsi="宋体" w:cs="宋体" w:hint="eastAsia"/>
          <w:color w:val="333333"/>
          <w:kern w:val="0"/>
          <w:szCs w:val="21"/>
        </w:rPr>
        <w:t>人建成后无偿移交给南部新城管委会。</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（4）地块竞价达到最高限价时停止竞价，改为在本地块内竞争</w:t>
      </w:r>
      <w:proofErr w:type="gramStart"/>
      <w:r w:rsidRPr="00526B45">
        <w:rPr>
          <w:rFonts w:ascii="宋体" w:eastAsia="宋体" w:hAnsi="宋体" w:cs="宋体" w:hint="eastAsia"/>
          <w:color w:val="333333"/>
          <w:kern w:val="0"/>
          <w:szCs w:val="21"/>
        </w:rPr>
        <w:t>人才房</w:t>
      </w:r>
      <w:proofErr w:type="gramEnd"/>
      <w:r w:rsidRPr="00526B45">
        <w:rPr>
          <w:rFonts w:ascii="宋体" w:eastAsia="宋体" w:hAnsi="宋体" w:cs="宋体" w:hint="eastAsia"/>
          <w:color w:val="333333"/>
          <w:kern w:val="0"/>
          <w:szCs w:val="21"/>
        </w:rPr>
        <w:t>建筑面积，面积最多者竞得。</w:t>
      </w:r>
      <w:proofErr w:type="gramStart"/>
      <w:r w:rsidRPr="00526B45">
        <w:rPr>
          <w:rFonts w:ascii="宋体" w:eastAsia="宋体" w:hAnsi="宋体" w:cs="宋体" w:hint="eastAsia"/>
          <w:color w:val="333333"/>
          <w:kern w:val="0"/>
          <w:szCs w:val="21"/>
        </w:rPr>
        <w:t>人才房建成</w:t>
      </w:r>
      <w:proofErr w:type="gramEnd"/>
      <w:r w:rsidRPr="00526B45">
        <w:rPr>
          <w:rFonts w:ascii="宋体" w:eastAsia="宋体" w:hAnsi="宋体" w:cs="宋体" w:hint="eastAsia"/>
          <w:color w:val="333333"/>
          <w:kern w:val="0"/>
          <w:szCs w:val="21"/>
        </w:rPr>
        <w:t>后无偿移交给南部新城管委会。</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（5）配建的</w:t>
      </w:r>
      <w:proofErr w:type="gramStart"/>
      <w:r w:rsidRPr="00526B45">
        <w:rPr>
          <w:rFonts w:ascii="宋体" w:eastAsia="宋体" w:hAnsi="宋体" w:cs="宋体" w:hint="eastAsia"/>
          <w:color w:val="333333"/>
          <w:kern w:val="0"/>
          <w:szCs w:val="21"/>
        </w:rPr>
        <w:t>人才房</w:t>
      </w:r>
      <w:proofErr w:type="gramEnd"/>
      <w:r w:rsidRPr="00526B45">
        <w:rPr>
          <w:rFonts w:ascii="宋体" w:eastAsia="宋体" w:hAnsi="宋体" w:cs="宋体" w:hint="eastAsia"/>
          <w:color w:val="333333"/>
          <w:kern w:val="0"/>
          <w:szCs w:val="21"/>
        </w:rPr>
        <w:t>和</w:t>
      </w:r>
      <w:proofErr w:type="gramStart"/>
      <w:r w:rsidRPr="00526B45">
        <w:rPr>
          <w:rFonts w:ascii="宋体" w:eastAsia="宋体" w:hAnsi="宋体" w:cs="宋体" w:hint="eastAsia"/>
          <w:color w:val="333333"/>
          <w:kern w:val="0"/>
          <w:szCs w:val="21"/>
        </w:rPr>
        <w:t>竞建</w:t>
      </w:r>
      <w:proofErr w:type="gramEnd"/>
      <w:r w:rsidRPr="00526B45">
        <w:rPr>
          <w:rFonts w:ascii="宋体" w:eastAsia="宋体" w:hAnsi="宋体" w:cs="宋体" w:hint="eastAsia"/>
          <w:color w:val="333333"/>
          <w:kern w:val="0"/>
          <w:szCs w:val="21"/>
        </w:rPr>
        <w:t>的</w:t>
      </w:r>
      <w:proofErr w:type="gramStart"/>
      <w:r w:rsidRPr="00526B45">
        <w:rPr>
          <w:rFonts w:ascii="宋体" w:eastAsia="宋体" w:hAnsi="宋体" w:cs="宋体" w:hint="eastAsia"/>
          <w:color w:val="333333"/>
          <w:kern w:val="0"/>
          <w:szCs w:val="21"/>
        </w:rPr>
        <w:t>人才房</w:t>
      </w:r>
      <w:proofErr w:type="gramEnd"/>
      <w:r w:rsidRPr="00526B45">
        <w:rPr>
          <w:rFonts w:ascii="宋体" w:eastAsia="宋体" w:hAnsi="宋体" w:cs="宋体" w:hint="eastAsia"/>
          <w:color w:val="333333"/>
          <w:kern w:val="0"/>
          <w:szCs w:val="21"/>
        </w:rPr>
        <w:t>以整幢、整单元或整层为最小单位，不足一单元或一层的应在同单元或同层内集中布置。</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（6）地块</w:t>
      </w:r>
      <w:proofErr w:type="gramStart"/>
      <w:r w:rsidRPr="00526B45">
        <w:rPr>
          <w:rFonts w:ascii="宋体" w:eastAsia="宋体" w:hAnsi="宋体" w:cs="宋体" w:hint="eastAsia"/>
          <w:color w:val="333333"/>
          <w:kern w:val="0"/>
          <w:szCs w:val="21"/>
        </w:rPr>
        <w:t>位于住</w:t>
      </w:r>
      <w:proofErr w:type="gramEnd"/>
      <w:r w:rsidRPr="00526B45">
        <w:rPr>
          <w:rFonts w:ascii="宋体" w:eastAsia="宋体" w:hAnsi="宋体" w:cs="宋体" w:hint="eastAsia"/>
          <w:color w:val="333333"/>
          <w:kern w:val="0"/>
          <w:szCs w:val="21"/>
        </w:rPr>
        <w:t>建部批准的中芬低碳生态试点示范</w:t>
      </w:r>
      <w:proofErr w:type="gramStart"/>
      <w:r w:rsidRPr="00526B45">
        <w:rPr>
          <w:rFonts w:ascii="宋体" w:eastAsia="宋体" w:hAnsi="宋体" w:cs="宋体" w:hint="eastAsia"/>
          <w:color w:val="333333"/>
          <w:kern w:val="0"/>
          <w:szCs w:val="21"/>
        </w:rPr>
        <w:t>城范围</w:t>
      </w:r>
      <w:proofErr w:type="gramEnd"/>
      <w:r w:rsidRPr="00526B45">
        <w:rPr>
          <w:rFonts w:ascii="宋体" w:eastAsia="宋体" w:hAnsi="宋体" w:cs="宋体" w:hint="eastAsia"/>
          <w:color w:val="333333"/>
          <w:kern w:val="0"/>
          <w:szCs w:val="21"/>
        </w:rPr>
        <w:t>内，住宅建筑100%实行精装修交付。按照三星及以上绿色建筑标准建设，全部采用可再生能源作为系统冷热源的集中空调方式，竞得人在项目设计过程中应按照《南部新城开发建设项目设计管理办法》的相关要求进行报审。</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NO.2019G33:</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（1）该地块不接受联合竞买。</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（2）C、D分区内酒店式公寓配建比例不得高于C、D分区地上总建筑面积的30%。</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lastRenderedPageBreak/>
        <w:t>（3）地块竞价达到最高限价时停止竞价，改为在本地块内竞争</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租赁住房建筑面积，面积最多者竞得。</w:t>
      </w:r>
      <w:proofErr w:type="gramStart"/>
      <w:r w:rsidRPr="00526B45">
        <w:rPr>
          <w:rFonts w:ascii="宋体" w:eastAsia="宋体" w:hAnsi="宋体" w:cs="宋体" w:hint="eastAsia"/>
          <w:color w:val="333333"/>
          <w:kern w:val="0"/>
          <w:szCs w:val="21"/>
        </w:rPr>
        <w:t>由竞得</w:t>
      </w:r>
      <w:proofErr w:type="gramEnd"/>
      <w:r w:rsidRPr="00526B45">
        <w:rPr>
          <w:rFonts w:ascii="宋体" w:eastAsia="宋体" w:hAnsi="宋体" w:cs="宋体" w:hint="eastAsia"/>
          <w:color w:val="333333"/>
          <w:kern w:val="0"/>
          <w:szCs w:val="21"/>
        </w:rPr>
        <w:t>人建成后</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，用于出租居住，只租不售，不得分割转让，不得分割抵押，遵守国家及南京租赁管理政策相关要求。竞建的租赁住房以整幢、整单元或整层为最小单位，不足一单元或一层的应在同单元或同层内集中布置。</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（4）住宅建筑100%实行全装修成品住房交付。</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（5）竞得人须在成交确认</w:t>
      </w:r>
      <w:proofErr w:type="gramStart"/>
      <w:r w:rsidRPr="00526B45">
        <w:rPr>
          <w:rFonts w:ascii="宋体" w:eastAsia="宋体" w:hAnsi="宋体" w:cs="宋体" w:hint="eastAsia"/>
          <w:color w:val="333333"/>
          <w:kern w:val="0"/>
          <w:szCs w:val="21"/>
        </w:rPr>
        <w:t>书签订</w:t>
      </w:r>
      <w:proofErr w:type="gramEnd"/>
      <w:r w:rsidRPr="00526B45">
        <w:rPr>
          <w:rFonts w:ascii="宋体" w:eastAsia="宋体" w:hAnsi="宋体" w:cs="宋体" w:hint="eastAsia"/>
          <w:color w:val="333333"/>
          <w:kern w:val="0"/>
          <w:szCs w:val="21"/>
        </w:rPr>
        <w:t>后、土地出让合同签订前与浦口区人民政府签订《地块投资发展协议》。</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NO.2019G34:</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（1）该地块商业建筑占地块地上总建筑面积不小于15%，且集中商业建筑应沿园</w:t>
      </w:r>
      <w:proofErr w:type="gramStart"/>
      <w:r w:rsidRPr="00526B45">
        <w:rPr>
          <w:rFonts w:ascii="宋体" w:eastAsia="宋体" w:hAnsi="宋体" w:cs="宋体" w:hint="eastAsia"/>
          <w:color w:val="333333"/>
          <w:kern w:val="0"/>
          <w:szCs w:val="21"/>
        </w:rPr>
        <w:t>特</w:t>
      </w:r>
      <w:proofErr w:type="gramEnd"/>
      <w:r w:rsidRPr="00526B45">
        <w:rPr>
          <w:rFonts w:ascii="宋体" w:eastAsia="宋体" w:hAnsi="宋体" w:cs="宋体" w:hint="eastAsia"/>
          <w:color w:val="333333"/>
          <w:kern w:val="0"/>
          <w:szCs w:val="21"/>
        </w:rPr>
        <w:t>路设置，居住建筑高度不小于60米。</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（2）地块竞价达到最高限价时停止竞价，改为在本地块内竞争</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租赁住房建筑面积，面积最多者竞得。</w:t>
      </w:r>
      <w:proofErr w:type="gramStart"/>
      <w:r w:rsidRPr="00526B45">
        <w:rPr>
          <w:rFonts w:ascii="宋体" w:eastAsia="宋体" w:hAnsi="宋体" w:cs="宋体" w:hint="eastAsia"/>
          <w:color w:val="333333"/>
          <w:kern w:val="0"/>
          <w:szCs w:val="21"/>
        </w:rPr>
        <w:t>由竞得</w:t>
      </w:r>
      <w:proofErr w:type="gramEnd"/>
      <w:r w:rsidRPr="00526B45">
        <w:rPr>
          <w:rFonts w:ascii="宋体" w:eastAsia="宋体" w:hAnsi="宋体" w:cs="宋体" w:hint="eastAsia"/>
          <w:color w:val="333333"/>
          <w:kern w:val="0"/>
          <w:szCs w:val="21"/>
        </w:rPr>
        <w:t>人建成后</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，用于出租居住，只租不售，不得分割转让，不得分割抵押，遵守国家及南京租赁管理政策相关要求。竞建的租赁住房以整幢、整单元或整层为最小单位，不足一单元或一层的应在同单元或同层内集中布置。</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（3）住宅建筑100%实行全装修成品住房交付。</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NO.2019G35:</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（1）地块竞价达到最高限价时停止竞价，改为在本地块内竞争</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租赁住房建筑面积，面积最多者竞得。</w:t>
      </w:r>
      <w:proofErr w:type="gramStart"/>
      <w:r w:rsidRPr="00526B45">
        <w:rPr>
          <w:rFonts w:ascii="宋体" w:eastAsia="宋体" w:hAnsi="宋体" w:cs="宋体" w:hint="eastAsia"/>
          <w:color w:val="333333"/>
          <w:kern w:val="0"/>
          <w:szCs w:val="21"/>
        </w:rPr>
        <w:t>由竞得</w:t>
      </w:r>
      <w:proofErr w:type="gramEnd"/>
      <w:r w:rsidRPr="00526B45">
        <w:rPr>
          <w:rFonts w:ascii="宋体" w:eastAsia="宋体" w:hAnsi="宋体" w:cs="宋体" w:hint="eastAsia"/>
          <w:color w:val="333333"/>
          <w:kern w:val="0"/>
          <w:szCs w:val="21"/>
        </w:rPr>
        <w:t>人建成后</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，用于出租居住，只租不售，不得分割转让，不得分割抵押，遵守国家及南京租赁管理政策相关要求。竞建的租赁住房以整幢、整单元或整层为最小单位，不足一单元或一层的应在同单元或同层内集中布置。</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（2）住宅建筑100%实行全装修成品住房交付。</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NO.2019G36:</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（1）该地块住宅建筑的高度不得低于60米，商业裙房不受此限。</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（2）地块内须配建建筑面积不小于11424平方米的租赁住房，</w:t>
      </w:r>
      <w:proofErr w:type="gramStart"/>
      <w:r w:rsidRPr="00526B45">
        <w:rPr>
          <w:rFonts w:ascii="宋体" w:eastAsia="宋体" w:hAnsi="宋体" w:cs="宋体" w:hint="eastAsia"/>
          <w:color w:val="333333"/>
          <w:kern w:val="0"/>
          <w:szCs w:val="21"/>
        </w:rPr>
        <w:t>由竞得</w:t>
      </w:r>
      <w:proofErr w:type="gramEnd"/>
      <w:r w:rsidRPr="00526B45">
        <w:rPr>
          <w:rFonts w:ascii="宋体" w:eastAsia="宋体" w:hAnsi="宋体" w:cs="宋体" w:hint="eastAsia"/>
          <w:color w:val="333333"/>
          <w:kern w:val="0"/>
          <w:szCs w:val="21"/>
        </w:rPr>
        <w:t>人建成后</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，用于出租居住，只租不售，不得分割转让，不得分割抵押, 遵守国家及南京租赁管理政策相关要求。</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（3）地块竞价达到最高限价时停止竞价，改为在本地块内竞争</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租赁住房建筑面积，面积最多者竞得。竞建和配建的租赁住房以整幢、整单元或整层为最小单位，不足一单元或一层的应在同单元或同层内集中布置。</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（4）该地块沿栖霞大道段用地范围内首排建筑与地块南侧规划架空工业管廊间距须满足相关规范要求，不得小于25米，地块首排建筑退让用地边界不得小于8.8米。</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（5）竞得人在地块开发建设中，应按相关工程建设和环保要求，设置相应防护措施。</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NO.2019G37:</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（1）A分区商业建筑面积不得小于A分区地上总建筑面积的15%。</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（2）该地块须配建建筑面积不小于10650平方米的人才房，</w:t>
      </w:r>
      <w:proofErr w:type="gramStart"/>
      <w:r w:rsidRPr="00526B45">
        <w:rPr>
          <w:rFonts w:ascii="宋体" w:eastAsia="宋体" w:hAnsi="宋体" w:cs="宋体" w:hint="eastAsia"/>
          <w:color w:val="333333"/>
          <w:kern w:val="0"/>
          <w:szCs w:val="21"/>
        </w:rPr>
        <w:t>由竞得</w:t>
      </w:r>
      <w:proofErr w:type="gramEnd"/>
      <w:r w:rsidRPr="00526B45">
        <w:rPr>
          <w:rFonts w:ascii="宋体" w:eastAsia="宋体" w:hAnsi="宋体" w:cs="宋体" w:hint="eastAsia"/>
          <w:color w:val="333333"/>
          <w:kern w:val="0"/>
          <w:szCs w:val="21"/>
        </w:rPr>
        <w:t>人建成后无偿移交给南京市江南小化工集中整治工作现场指挥部。</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（3）地块竞价达到最高限价时停止竞价，改为在本地块内竞争</w:t>
      </w:r>
      <w:proofErr w:type="gramStart"/>
      <w:r w:rsidRPr="00526B45">
        <w:rPr>
          <w:rFonts w:ascii="宋体" w:eastAsia="宋体" w:hAnsi="宋体" w:cs="宋体" w:hint="eastAsia"/>
          <w:color w:val="333333"/>
          <w:kern w:val="0"/>
          <w:szCs w:val="21"/>
        </w:rPr>
        <w:t>人才房</w:t>
      </w:r>
      <w:proofErr w:type="gramEnd"/>
      <w:r w:rsidRPr="00526B45">
        <w:rPr>
          <w:rFonts w:ascii="宋体" w:eastAsia="宋体" w:hAnsi="宋体" w:cs="宋体" w:hint="eastAsia"/>
          <w:color w:val="333333"/>
          <w:kern w:val="0"/>
          <w:szCs w:val="21"/>
        </w:rPr>
        <w:t>建筑面积，面积最多者竞得。</w:t>
      </w:r>
      <w:proofErr w:type="gramStart"/>
      <w:r w:rsidRPr="00526B45">
        <w:rPr>
          <w:rFonts w:ascii="宋体" w:eastAsia="宋体" w:hAnsi="宋体" w:cs="宋体" w:hint="eastAsia"/>
          <w:color w:val="333333"/>
          <w:kern w:val="0"/>
          <w:szCs w:val="21"/>
        </w:rPr>
        <w:t>人才房建成</w:t>
      </w:r>
      <w:proofErr w:type="gramEnd"/>
      <w:r w:rsidRPr="00526B45">
        <w:rPr>
          <w:rFonts w:ascii="宋体" w:eastAsia="宋体" w:hAnsi="宋体" w:cs="宋体" w:hint="eastAsia"/>
          <w:color w:val="333333"/>
          <w:kern w:val="0"/>
          <w:szCs w:val="21"/>
        </w:rPr>
        <w:t>后无偿移交给南京市江南小化工集中整治工作现场指挥部。</w:t>
      </w:r>
    </w:p>
    <w:p w:rsidR="00526B45" w:rsidRPr="00526B45" w:rsidRDefault="00526B45" w:rsidP="00526B45">
      <w:pPr>
        <w:widowControl/>
        <w:shd w:val="clear" w:color="auto" w:fill="FFFFFF"/>
        <w:spacing w:line="360" w:lineRule="auto"/>
        <w:ind w:firstLineChars="200" w:firstLine="420"/>
        <w:rPr>
          <w:rFonts w:asciiTheme="minorEastAsia" w:hAnsiTheme="minorEastAsia" w:cs="宋体"/>
          <w:color w:val="333333"/>
          <w:kern w:val="0"/>
          <w:szCs w:val="21"/>
        </w:rPr>
      </w:pPr>
      <w:r w:rsidRPr="00526B45">
        <w:rPr>
          <w:rFonts w:ascii="宋体" w:eastAsia="宋体" w:hAnsi="宋体" w:cs="宋体" w:hint="eastAsia"/>
          <w:color w:val="333333"/>
          <w:kern w:val="0"/>
          <w:szCs w:val="21"/>
        </w:rPr>
        <w:lastRenderedPageBreak/>
        <w:t>（4）配建的</w:t>
      </w:r>
      <w:proofErr w:type="gramStart"/>
      <w:r w:rsidRPr="00526B45">
        <w:rPr>
          <w:rFonts w:ascii="宋体" w:eastAsia="宋体" w:hAnsi="宋体" w:cs="宋体" w:hint="eastAsia"/>
          <w:color w:val="333333"/>
          <w:kern w:val="0"/>
          <w:szCs w:val="21"/>
        </w:rPr>
        <w:t>人才房</w:t>
      </w:r>
      <w:proofErr w:type="gramEnd"/>
      <w:r w:rsidRPr="00526B45">
        <w:rPr>
          <w:rFonts w:ascii="宋体" w:eastAsia="宋体" w:hAnsi="宋体" w:cs="宋体" w:hint="eastAsia"/>
          <w:color w:val="333333"/>
          <w:kern w:val="0"/>
          <w:szCs w:val="21"/>
        </w:rPr>
        <w:t>和</w:t>
      </w:r>
      <w:proofErr w:type="gramStart"/>
      <w:r w:rsidRPr="00526B45">
        <w:rPr>
          <w:rFonts w:ascii="宋体" w:eastAsia="宋体" w:hAnsi="宋体" w:cs="宋体" w:hint="eastAsia"/>
          <w:color w:val="333333"/>
          <w:kern w:val="0"/>
          <w:szCs w:val="21"/>
        </w:rPr>
        <w:t>竞建</w:t>
      </w:r>
      <w:proofErr w:type="gramEnd"/>
      <w:r w:rsidRPr="00526B45">
        <w:rPr>
          <w:rFonts w:ascii="宋体" w:eastAsia="宋体" w:hAnsi="宋体" w:cs="宋体" w:hint="eastAsia"/>
          <w:color w:val="333333"/>
          <w:kern w:val="0"/>
          <w:szCs w:val="21"/>
        </w:rPr>
        <w:t>的</w:t>
      </w:r>
      <w:proofErr w:type="gramStart"/>
      <w:r w:rsidRPr="00526B45">
        <w:rPr>
          <w:rFonts w:ascii="宋体" w:eastAsia="宋体" w:hAnsi="宋体" w:cs="宋体" w:hint="eastAsia"/>
          <w:color w:val="333333"/>
          <w:kern w:val="0"/>
          <w:szCs w:val="21"/>
        </w:rPr>
        <w:t>人才房</w:t>
      </w:r>
      <w:proofErr w:type="gramEnd"/>
      <w:r w:rsidRPr="00526B45">
        <w:rPr>
          <w:rFonts w:ascii="宋体" w:eastAsia="宋体" w:hAnsi="宋体" w:cs="宋体" w:hint="eastAsia"/>
          <w:color w:val="333333"/>
          <w:kern w:val="0"/>
          <w:szCs w:val="21"/>
        </w:rPr>
        <w:t>以整幢、整单元或整层为最小单位，不足一单元或一层的应在同单元或同层内集中布置。</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四、交地条件</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土地交付条件：净地出让，即</w:t>
      </w:r>
      <w:r w:rsidRPr="00526B45">
        <w:rPr>
          <w:rFonts w:ascii="宋体" w:eastAsia="宋体" w:hAnsi="宋体" w:cs="宋体" w:hint="eastAsia"/>
          <w:color w:val="333333"/>
          <w:spacing w:val="-10"/>
          <w:kern w:val="0"/>
          <w:szCs w:val="21"/>
        </w:rPr>
        <w:t>地块范围内房屋及建、构筑物拆至室内地坪，其余维持自然现状。出让范围内杆（高压）管线、电（光）缆等由受让人按规定自行处置</w:t>
      </w:r>
      <w:r w:rsidRPr="00526B45">
        <w:rPr>
          <w:rFonts w:ascii="宋体" w:eastAsia="宋体" w:hAnsi="宋体" w:cs="宋体" w:hint="eastAsia"/>
          <w:color w:val="333333"/>
          <w:kern w:val="0"/>
          <w:szCs w:val="21"/>
        </w:rPr>
        <w:t>。外部条件（道路、水、电、气等）均以现状为准</w:t>
      </w:r>
      <w:r w:rsidRPr="00526B45">
        <w:rPr>
          <w:rFonts w:ascii="宋体" w:eastAsia="宋体" w:hAnsi="宋体" w:cs="宋体" w:hint="eastAsia"/>
          <w:color w:val="333333"/>
          <w:spacing w:val="-10"/>
          <w:kern w:val="0"/>
          <w:szCs w:val="21"/>
        </w:rPr>
        <w:t>。</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五、竞买要求</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中华人民共和国境内外的法人和其他组织，除法律、法规另有规定者外，均可参加竞买。可以独立竞买，也可以联合竞买（出让公告或公开出让文件另有约定的除外），联合竞买的联合体各方须同时具备地块竞买条件。</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w:t>
      </w:r>
      <w:proofErr w:type="gramStart"/>
      <w:r w:rsidRPr="00526B45">
        <w:rPr>
          <w:rFonts w:ascii="宋体" w:eastAsia="宋体" w:hAnsi="宋体" w:cs="宋体" w:hint="eastAsia"/>
          <w:color w:val="333333"/>
          <w:kern w:val="0"/>
          <w:szCs w:val="21"/>
        </w:rPr>
        <w:t>以上商</w:t>
      </w:r>
      <w:proofErr w:type="gramEnd"/>
      <w:r w:rsidRPr="00526B45">
        <w:rPr>
          <w:rFonts w:ascii="宋体" w:eastAsia="宋体" w:hAnsi="宋体" w:cs="宋体" w:hint="eastAsia"/>
          <w:color w:val="333333"/>
          <w:kern w:val="0"/>
          <w:szCs w:val="21"/>
        </w:rPr>
        <w:t>住、住宅用地的境内竞买人的竞买保证金及后续购地资金须为竞买人自有资金，并提供经江苏省财政厅公布的在南京市范围内注册经营的3A级及以上会计师事务所及注册会计师</w:t>
      </w:r>
      <w:proofErr w:type="gramStart"/>
      <w:r w:rsidRPr="00526B45">
        <w:rPr>
          <w:rFonts w:ascii="宋体" w:eastAsia="宋体" w:hAnsi="宋体" w:cs="宋体" w:hint="eastAsia"/>
          <w:color w:val="333333"/>
          <w:kern w:val="0"/>
          <w:szCs w:val="21"/>
        </w:rPr>
        <w:t>鉴证</w:t>
      </w:r>
      <w:proofErr w:type="gramEnd"/>
      <w:r w:rsidRPr="00526B45">
        <w:rPr>
          <w:rFonts w:ascii="宋体" w:eastAsia="宋体" w:hAnsi="宋体" w:cs="宋体" w:hint="eastAsia"/>
          <w:color w:val="333333"/>
          <w:kern w:val="0"/>
          <w:szCs w:val="21"/>
        </w:rPr>
        <w:t>的《住房和商住用地竞买保证金/成交价款来源情况申报表》及审计报告。</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2、竞得人所持股份大于50%的前提下，可就该地块开发成立项目公司。商住、住宅地块的受让人如需</w:t>
      </w:r>
      <w:proofErr w:type="gramStart"/>
      <w:r w:rsidRPr="00526B45">
        <w:rPr>
          <w:rFonts w:ascii="宋体" w:eastAsia="宋体" w:hAnsi="宋体" w:cs="宋体" w:hint="eastAsia"/>
          <w:color w:val="333333"/>
          <w:kern w:val="0"/>
          <w:szCs w:val="21"/>
        </w:rPr>
        <w:t>变更受</w:t>
      </w:r>
      <w:proofErr w:type="gramEnd"/>
      <w:r w:rsidRPr="00526B45">
        <w:rPr>
          <w:rFonts w:ascii="宋体" w:eastAsia="宋体" w:hAnsi="宋体" w:cs="宋体" w:hint="eastAsia"/>
          <w:color w:val="333333"/>
          <w:kern w:val="0"/>
          <w:szCs w:val="21"/>
        </w:rPr>
        <w:t>让主体为项目公司的，应在出让成交后1个月内（其他地块应在出让成交后3个月内）提交符合变更主体资格条件的书面申请，并与出让人签订《出让合同》后再申请</w:t>
      </w:r>
      <w:proofErr w:type="gramStart"/>
      <w:r w:rsidRPr="00526B45">
        <w:rPr>
          <w:rFonts w:ascii="宋体" w:eastAsia="宋体" w:hAnsi="宋体" w:cs="宋体" w:hint="eastAsia"/>
          <w:color w:val="333333"/>
          <w:kern w:val="0"/>
          <w:szCs w:val="21"/>
        </w:rPr>
        <w:t>变更受</w:t>
      </w:r>
      <w:proofErr w:type="gramEnd"/>
      <w:r w:rsidRPr="00526B45">
        <w:rPr>
          <w:rFonts w:ascii="宋体" w:eastAsia="宋体" w:hAnsi="宋体" w:cs="宋体" w:hint="eastAsia"/>
          <w:color w:val="333333"/>
          <w:kern w:val="0"/>
          <w:szCs w:val="21"/>
        </w:rPr>
        <w:t>让人，变更后原出让合同所约定的权利和义务由新受让人履行。逾期未申请的，按土地转让办理。</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六、交易方式和时间</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1、南京市国有建设用地使用权公开出让实施网上交易。有意竞买人可于2019年6月6日起登陆网上交易系统申领出让文件。竞买有资格审查要求的地块请携带相关资料至南京市鼓楼区高家酒馆15号710室进行审核。</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有意竞买人请于2019年6月24日至2019年7月2日16:00（报名截止时间），在工作日9:00至18:00期间可登陆南京土地市场网“南京市国有建设用地使用权网上交易系统”进行网上备案、报名、报价，自由报价截止时间到2019年7月2日18:00，</w:t>
      </w:r>
      <w:proofErr w:type="gramStart"/>
      <w:r w:rsidRPr="00526B45">
        <w:rPr>
          <w:rFonts w:ascii="宋体" w:eastAsia="宋体" w:hAnsi="宋体" w:cs="宋体" w:hint="eastAsia"/>
          <w:color w:val="333333"/>
          <w:kern w:val="0"/>
          <w:szCs w:val="21"/>
        </w:rPr>
        <w:t>竞买人均</w:t>
      </w:r>
      <w:proofErr w:type="gramEnd"/>
      <w:r w:rsidRPr="00526B45">
        <w:rPr>
          <w:rFonts w:ascii="宋体" w:eastAsia="宋体" w:hAnsi="宋体" w:cs="宋体" w:hint="eastAsia"/>
          <w:color w:val="333333"/>
          <w:kern w:val="0"/>
          <w:szCs w:val="21"/>
        </w:rPr>
        <w:t>可报价一次。</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3、同一出让地块有两个或两个以上竞买人，且已有有效报价的，转入网上限时竞价，限时竞价时间为2019年7月3日上午10:00开始，以交易系统显示的时间为准。各地块限时竞价开始时间分别为：</w:t>
      </w:r>
    </w:p>
    <w:tbl>
      <w:tblPr>
        <w:tblW w:w="9804" w:type="dxa"/>
        <w:jc w:val="center"/>
        <w:tblBorders>
          <w:top w:val="single" w:sz="6" w:space="0" w:color="000000"/>
          <w:left w:val="single" w:sz="6"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57"/>
        <w:gridCol w:w="2369"/>
        <w:gridCol w:w="2120"/>
        <w:gridCol w:w="2047"/>
        <w:gridCol w:w="2211"/>
      </w:tblGrid>
      <w:tr w:rsidR="00526B45" w:rsidRPr="00526B45" w:rsidTr="00526B45">
        <w:trPr>
          <w:trHeight w:val="352"/>
          <w:jc w:val="center"/>
        </w:trPr>
        <w:tc>
          <w:tcPr>
            <w:tcW w:w="1057"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r w:rsidRPr="00526B45">
              <w:rPr>
                <w:rFonts w:ascii="宋体" w:eastAsia="宋体" w:hAnsi="宋体" w:cs="宋体" w:hint="eastAsia"/>
                <w:color w:val="555555"/>
                <w:kern w:val="0"/>
                <w:szCs w:val="21"/>
              </w:rPr>
              <w:t>7月3日</w:t>
            </w:r>
          </w:p>
        </w:tc>
        <w:tc>
          <w:tcPr>
            <w:tcW w:w="236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proofErr w:type="gramStart"/>
            <w:r w:rsidRPr="00526B45">
              <w:rPr>
                <w:rFonts w:ascii="宋体" w:eastAsia="宋体" w:hAnsi="宋体" w:cs="宋体" w:hint="eastAsia"/>
                <w:color w:val="555555"/>
                <w:kern w:val="0"/>
                <w:szCs w:val="21"/>
              </w:rPr>
              <w:t>10:00</w:t>
            </w:r>
            <w:r>
              <w:rPr>
                <w:rFonts w:ascii="宋体" w:eastAsia="宋体" w:hAnsi="宋体" w:cs="宋体" w:hint="eastAsia"/>
                <w:color w:val="555555"/>
                <w:kern w:val="0"/>
                <w:szCs w:val="21"/>
              </w:rPr>
              <w:t xml:space="preserve">  </w:t>
            </w:r>
            <w:r w:rsidRPr="00526B45">
              <w:rPr>
                <w:rFonts w:ascii="宋体" w:eastAsia="宋体" w:hAnsi="宋体" w:cs="宋体" w:hint="eastAsia"/>
                <w:color w:val="555555"/>
                <w:kern w:val="0"/>
                <w:szCs w:val="21"/>
              </w:rPr>
              <w:t>NO.</w:t>
            </w:r>
            <w:proofErr w:type="gramEnd"/>
            <w:r w:rsidRPr="00526B45">
              <w:rPr>
                <w:rFonts w:ascii="宋体" w:eastAsia="宋体" w:hAnsi="宋体" w:cs="宋体" w:hint="eastAsia"/>
                <w:color w:val="555555"/>
                <w:kern w:val="0"/>
                <w:szCs w:val="21"/>
              </w:rPr>
              <w:t>2019G32</w:t>
            </w:r>
          </w:p>
        </w:tc>
        <w:tc>
          <w:tcPr>
            <w:tcW w:w="212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proofErr w:type="gramStart"/>
            <w:r w:rsidRPr="00526B45">
              <w:rPr>
                <w:rFonts w:ascii="宋体" w:eastAsia="宋体" w:hAnsi="宋体" w:cs="宋体" w:hint="eastAsia"/>
                <w:color w:val="555555"/>
                <w:kern w:val="0"/>
                <w:szCs w:val="21"/>
              </w:rPr>
              <w:t>10:20</w:t>
            </w:r>
            <w:r>
              <w:rPr>
                <w:rFonts w:ascii="宋体" w:eastAsia="宋体" w:hAnsi="宋体" w:cs="宋体" w:hint="eastAsia"/>
                <w:color w:val="555555"/>
                <w:kern w:val="0"/>
                <w:szCs w:val="21"/>
              </w:rPr>
              <w:t xml:space="preserve">  </w:t>
            </w:r>
            <w:r w:rsidRPr="00526B45">
              <w:rPr>
                <w:rFonts w:ascii="宋体" w:eastAsia="宋体" w:hAnsi="宋体" w:cs="宋体" w:hint="eastAsia"/>
                <w:color w:val="555555"/>
                <w:kern w:val="0"/>
                <w:szCs w:val="21"/>
              </w:rPr>
              <w:t>NO.</w:t>
            </w:r>
            <w:proofErr w:type="gramEnd"/>
            <w:r w:rsidRPr="00526B45">
              <w:rPr>
                <w:rFonts w:ascii="宋体" w:eastAsia="宋体" w:hAnsi="宋体" w:cs="宋体" w:hint="eastAsia"/>
                <w:color w:val="555555"/>
                <w:kern w:val="0"/>
                <w:szCs w:val="21"/>
              </w:rPr>
              <w:t>2019G33</w:t>
            </w:r>
          </w:p>
        </w:tc>
        <w:tc>
          <w:tcPr>
            <w:tcW w:w="204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proofErr w:type="gramStart"/>
            <w:r w:rsidRPr="00526B45">
              <w:rPr>
                <w:rFonts w:ascii="宋体" w:eastAsia="宋体" w:hAnsi="宋体" w:cs="宋体" w:hint="eastAsia"/>
                <w:color w:val="555555"/>
                <w:kern w:val="0"/>
                <w:szCs w:val="21"/>
              </w:rPr>
              <w:t>10:40</w:t>
            </w:r>
            <w:r>
              <w:rPr>
                <w:rFonts w:ascii="宋体" w:eastAsia="宋体" w:hAnsi="宋体" w:cs="宋体" w:hint="eastAsia"/>
                <w:color w:val="555555"/>
                <w:kern w:val="0"/>
                <w:szCs w:val="21"/>
              </w:rPr>
              <w:t xml:space="preserve">  </w:t>
            </w:r>
            <w:r w:rsidRPr="00526B45">
              <w:rPr>
                <w:rFonts w:ascii="宋体" w:eastAsia="宋体" w:hAnsi="宋体" w:cs="宋体" w:hint="eastAsia"/>
                <w:color w:val="555555"/>
                <w:kern w:val="0"/>
                <w:szCs w:val="21"/>
              </w:rPr>
              <w:t>NO.</w:t>
            </w:r>
            <w:proofErr w:type="gramEnd"/>
            <w:r w:rsidRPr="00526B45">
              <w:rPr>
                <w:rFonts w:ascii="宋体" w:eastAsia="宋体" w:hAnsi="宋体" w:cs="宋体" w:hint="eastAsia"/>
                <w:color w:val="555555"/>
                <w:kern w:val="0"/>
                <w:szCs w:val="21"/>
              </w:rPr>
              <w:t>2019G34</w:t>
            </w:r>
          </w:p>
        </w:tc>
        <w:tc>
          <w:tcPr>
            <w:tcW w:w="221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proofErr w:type="gramStart"/>
            <w:r w:rsidRPr="00526B45">
              <w:rPr>
                <w:rFonts w:ascii="宋体" w:eastAsia="宋体" w:hAnsi="宋体" w:cs="宋体" w:hint="eastAsia"/>
                <w:color w:val="555555"/>
                <w:kern w:val="0"/>
                <w:szCs w:val="21"/>
              </w:rPr>
              <w:t>11:00</w:t>
            </w:r>
            <w:r>
              <w:rPr>
                <w:rFonts w:ascii="宋体" w:eastAsia="宋体" w:hAnsi="宋体" w:cs="宋体" w:hint="eastAsia"/>
                <w:color w:val="555555"/>
                <w:kern w:val="0"/>
                <w:szCs w:val="21"/>
              </w:rPr>
              <w:t xml:space="preserve">  </w:t>
            </w:r>
            <w:r w:rsidRPr="00526B45">
              <w:rPr>
                <w:rFonts w:ascii="宋体" w:eastAsia="宋体" w:hAnsi="宋体" w:cs="宋体" w:hint="eastAsia"/>
                <w:color w:val="555555"/>
                <w:kern w:val="0"/>
                <w:szCs w:val="21"/>
              </w:rPr>
              <w:t>NO.</w:t>
            </w:r>
            <w:proofErr w:type="gramEnd"/>
            <w:r w:rsidRPr="00526B45">
              <w:rPr>
                <w:rFonts w:ascii="宋体" w:eastAsia="宋体" w:hAnsi="宋体" w:cs="宋体" w:hint="eastAsia"/>
                <w:color w:val="555555"/>
                <w:kern w:val="0"/>
                <w:szCs w:val="21"/>
              </w:rPr>
              <w:t>2019G35</w:t>
            </w:r>
          </w:p>
        </w:tc>
      </w:tr>
      <w:tr w:rsidR="00526B45" w:rsidRPr="00526B45" w:rsidTr="00526B45">
        <w:trPr>
          <w:trHeight w:val="352"/>
          <w:jc w:val="center"/>
        </w:trPr>
        <w:tc>
          <w:tcPr>
            <w:tcW w:w="0" w:type="auto"/>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526B45" w:rsidRPr="00526B45" w:rsidRDefault="00526B45" w:rsidP="00526B45">
            <w:pPr>
              <w:widowControl/>
              <w:spacing w:line="360" w:lineRule="auto"/>
              <w:rPr>
                <w:rFonts w:ascii="宋体" w:eastAsia="宋体" w:hAnsi="宋体" w:cs="宋体"/>
                <w:color w:val="555555"/>
                <w:kern w:val="0"/>
                <w:szCs w:val="21"/>
              </w:rPr>
            </w:pPr>
          </w:p>
        </w:tc>
        <w:tc>
          <w:tcPr>
            <w:tcW w:w="2369"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r w:rsidRPr="00526B45">
              <w:rPr>
                <w:rFonts w:ascii="宋体" w:eastAsia="宋体" w:hAnsi="宋体" w:cs="宋体" w:hint="eastAsia"/>
                <w:color w:val="555555"/>
                <w:kern w:val="0"/>
                <w:szCs w:val="21"/>
              </w:rPr>
              <w:t>11:20</w:t>
            </w:r>
            <w:r>
              <w:rPr>
                <w:rFonts w:ascii="宋体" w:eastAsia="宋体" w:hAnsi="宋体" w:cs="宋体" w:hint="eastAsia"/>
                <w:color w:val="555555"/>
                <w:kern w:val="0"/>
                <w:szCs w:val="21"/>
              </w:rPr>
              <w:t xml:space="preserve"> </w:t>
            </w:r>
            <w:r w:rsidRPr="00526B45">
              <w:rPr>
                <w:rFonts w:ascii="宋体" w:eastAsia="宋体" w:hAnsi="宋体" w:cs="宋体" w:hint="eastAsia"/>
                <w:color w:val="555555"/>
                <w:kern w:val="0"/>
                <w:szCs w:val="21"/>
              </w:rPr>
              <w:t>NO.2019G36</w:t>
            </w:r>
          </w:p>
        </w:tc>
        <w:tc>
          <w:tcPr>
            <w:tcW w:w="2120"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proofErr w:type="gramStart"/>
            <w:r w:rsidRPr="00526B45">
              <w:rPr>
                <w:rFonts w:ascii="宋体" w:eastAsia="宋体" w:hAnsi="宋体" w:cs="宋体" w:hint="eastAsia"/>
                <w:color w:val="555555"/>
                <w:kern w:val="0"/>
                <w:szCs w:val="21"/>
              </w:rPr>
              <w:t>11:40</w:t>
            </w:r>
            <w:r>
              <w:rPr>
                <w:rFonts w:ascii="宋体" w:eastAsia="宋体" w:hAnsi="宋体" w:cs="宋体" w:hint="eastAsia"/>
                <w:color w:val="555555"/>
                <w:kern w:val="0"/>
                <w:szCs w:val="21"/>
              </w:rPr>
              <w:t xml:space="preserve">  </w:t>
            </w:r>
            <w:r w:rsidRPr="00526B45">
              <w:rPr>
                <w:rFonts w:ascii="宋体" w:eastAsia="宋体" w:hAnsi="宋体" w:cs="宋体" w:hint="eastAsia"/>
                <w:color w:val="555555"/>
                <w:kern w:val="0"/>
                <w:szCs w:val="21"/>
              </w:rPr>
              <w:t>NO.</w:t>
            </w:r>
            <w:proofErr w:type="gramEnd"/>
            <w:r w:rsidRPr="00526B45">
              <w:rPr>
                <w:rFonts w:ascii="宋体" w:eastAsia="宋体" w:hAnsi="宋体" w:cs="宋体" w:hint="eastAsia"/>
                <w:color w:val="555555"/>
                <w:kern w:val="0"/>
                <w:szCs w:val="21"/>
              </w:rPr>
              <w:t>2019G37</w:t>
            </w:r>
          </w:p>
        </w:tc>
        <w:tc>
          <w:tcPr>
            <w:tcW w:w="2047"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宋体"/>
                <w:color w:val="555555"/>
                <w:kern w:val="0"/>
                <w:szCs w:val="21"/>
              </w:rPr>
            </w:pPr>
          </w:p>
        </w:tc>
        <w:tc>
          <w:tcPr>
            <w:tcW w:w="2211"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rsidR="00526B45" w:rsidRPr="00526B45" w:rsidRDefault="00526B45" w:rsidP="00526B45">
            <w:pPr>
              <w:widowControl/>
              <w:spacing w:line="360" w:lineRule="auto"/>
              <w:rPr>
                <w:rFonts w:ascii="宋体" w:eastAsia="宋体" w:hAnsi="宋体" w:cs="Times New Roman"/>
                <w:kern w:val="0"/>
                <w:szCs w:val="21"/>
              </w:rPr>
            </w:pPr>
          </w:p>
        </w:tc>
      </w:tr>
    </w:tbl>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七、竞得人确定</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在挂牌时间截止（2019年7月3日10:00）时，地块无人报名，地块流标；地块只有一家竞买人报名，并有不低于起始价的有效报价，该地块在挂牌时间截止时即成交；两个或两个以上竞买人竞买同一地块，竞价最高者为竞得人。当住宅、商住地块的网上竞价超过起始价45%时，超出部分不计入房价准许成本。当地块竞价达到最高限价时仍有竞买人要求继续竞买的，停止竞价，改为在本地块内竞争</w:t>
      </w:r>
      <w:proofErr w:type="gramStart"/>
      <w:r w:rsidRPr="00526B45">
        <w:rPr>
          <w:rFonts w:ascii="宋体" w:eastAsia="宋体" w:hAnsi="宋体" w:cs="宋体" w:hint="eastAsia"/>
          <w:color w:val="333333"/>
          <w:kern w:val="0"/>
          <w:szCs w:val="21"/>
        </w:rPr>
        <w:t>人才房</w:t>
      </w:r>
      <w:proofErr w:type="gramEnd"/>
      <w:r w:rsidRPr="00526B45">
        <w:rPr>
          <w:rFonts w:ascii="宋体" w:eastAsia="宋体" w:hAnsi="宋体" w:cs="宋体" w:hint="eastAsia"/>
          <w:color w:val="333333"/>
          <w:kern w:val="0"/>
          <w:szCs w:val="21"/>
        </w:rPr>
        <w:t>或</w:t>
      </w:r>
      <w:proofErr w:type="gramStart"/>
      <w:r w:rsidRPr="00526B45">
        <w:rPr>
          <w:rFonts w:ascii="宋体" w:eastAsia="宋体" w:hAnsi="宋体" w:cs="宋体" w:hint="eastAsia"/>
          <w:color w:val="333333"/>
          <w:kern w:val="0"/>
          <w:szCs w:val="21"/>
        </w:rPr>
        <w:t>自持</w:t>
      </w:r>
      <w:proofErr w:type="gramEnd"/>
      <w:r w:rsidRPr="00526B45">
        <w:rPr>
          <w:rFonts w:ascii="宋体" w:eastAsia="宋体" w:hAnsi="宋体" w:cs="宋体" w:hint="eastAsia"/>
          <w:color w:val="333333"/>
          <w:kern w:val="0"/>
          <w:szCs w:val="21"/>
        </w:rPr>
        <w:t>租赁住房建筑面积，每次申报幅度为建筑面积200平方米，申报面积最多者为竞得人。</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八、成交手续办理</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lastRenderedPageBreak/>
        <w:t>竞得人竞买成功后，须在网上交易系统下载“南京市国有建设用地使用权公开出让成交通知书”，持“成交通知书”及报名资料原件及复印件在规定时间内与出让人办理成交确认手续。</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九、资金核查要求</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我局联合金融监管部门对竞得人提交的相关材料进行核查。竞得人资金来源与申报不符或违反规定的，取消竞得资格，已交纳的竞买保证金不予退还；已签订出让合同的，经批准收回土地使用权，所交纳的定金不予退还；同时，</w:t>
      </w:r>
      <w:proofErr w:type="gramStart"/>
      <w:r w:rsidRPr="00526B45">
        <w:rPr>
          <w:rFonts w:ascii="宋体" w:eastAsia="宋体" w:hAnsi="宋体" w:cs="宋体" w:hint="eastAsia"/>
          <w:color w:val="333333"/>
          <w:kern w:val="0"/>
          <w:szCs w:val="21"/>
        </w:rPr>
        <w:t>将竞得</w:t>
      </w:r>
      <w:proofErr w:type="gramEnd"/>
      <w:r w:rsidRPr="00526B45">
        <w:rPr>
          <w:rFonts w:ascii="宋体" w:eastAsia="宋体" w:hAnsi="宋体" w:cs="宋体" w:hint="eastAsia"/>
          <w:color w:val="333333"/>
          <w:kern w:val="0"/>
          <w:szCs w:val="21"/>
        </w:rPr>
        <w:t>人列入南京市土地市场诚信系统黑名单，一年内不得参加南京市土地市场公开竞买。</w:t>
      </w:r>
    </w:p>
    <w:p w:rsidR="00526B45" w:rsidRPr="00526B45" w:rsidRDefault="00526B45" w:rsidP="00526B45">
      <w:pPr>
        <w:widowControl/>
        <w:shd w:val="clear" w:color="auto" w:fill="FFFFFF"/>
        <w:spacing w:line="360" w:lineRule="auto"/>
        <w:ind w:firstLineChars="200" w:firstLine="422"/>
        <w:rPr>
          <w:rFonts w:ascii="宋体" w:eastAsia="宋体" w:hAnsi="宋体" w:cs="宋体"/>
          <w:color w:val="333333"/>
          <w:kern w:val="0"/>
          <w:szCs w:val="21"/>
        </w:rPr>
      </w:pPr>
      <w:r w:rsidRPr="00526B45">
        <w:rPr>
          <w:rFonts w:ascii="宋体" w:eastAsia="宋体" w:hAnsi="宋体" w:cs="宋体" w:hint="eastAsia"/>
          <w:b/>
          <w:bCs/>
          <w:color w:val="333333"/>
          <w:kern w:val="0"/>
          <w:szCs w:val="21"/>
        </w:rPr>
        <w:t>十、其他</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1、竞买人应认真阅读地块公开出让文件，全面了解地块情况及出让要求，如需进一步了解地块报名、竞价等情况可通过电话咨询。</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2、本次国有建设用地使用权公开出让由南京市土地矿产市场管理中心具体承办。</w:t>
      </w:r>
    </w:p>
    <w:p w:rsidR="00526B45" w:rsidRPr="00526B45" w:rsidRDefault="00526B45" w:rsidP="00526B45">
      <w:pPr>
        <w:widowControl/>
        <w:shd w:val="clear" w:color="auto" w:fill="FFFFFF"/>
        <w:spacing w:line="360" w:lineRule="auto"/>
        <w:ind w:firstLineChars="200" w:firstLine="420"/>
        <w:rPr>
          <w:rFonts w:ascii="宋体" w:eastAsia="宋体" w:hAnsi="宋体" w:cs="宋体"/>
          <w:color w:val="333333"/>
          <w:kern w:val="0"/>
          <w:szCs w:val="21"/>
        </w:rPr>
      </w:pPr>
      <w:r w:rsidRPr="00526B45">
        <w:rPr>
          <w:rFonts w:ascii="宋体" w:eastAsia="宋体" w:hAnsi="宋体" w:cs="宋体" w:hint="eastAsia"/>
          <w:color w:val="333333"/>
          <w:kern w:val="0"/>
          <w:szCs w:val="21"/>
        </w:rPr>
        <w:t>3、南京市规划和自然资源局对本《公告》有解释权。</w:t>
      </w:r>
    </w:p>
    <w:p w:rsidR="00526B45" w:rsidRPr="00526B45" w:rsidRDefault="00526B45" w:rsidP="00526B45">
      <w:pPr>
        <w:widowControl/>
        <w:shd w:val="clear" w:color="auto" w:fill="FFFFFF"/>
        <w:spacing w:line="360" w:lineRule="auto"/>
        <w:jc w:val="right"/>
        <w:rPr>
          <w:rFonts w:ascii="宋体" w:eastAsia="宋体" w:hAnsi="宋体" w:cs="宋体"/>
          <w:color w:val="333333"/>
          <w:kern w:val="0"/>
          <w:szCs w:val="21"/>
        </w:rPr>
      </w:pPr>
      <w:r w:rsidRPr="00526B45">
        <w:rPr>
          <w:rFonts w:ascii="宋体" w:eastAsia="宋体" w:hAnsi="宋体" w:cs="宋体" w:hint="eastAsia"/>
          <w:color w:val="333333"/>
          <w:spacing w:val="8"/>
          <w:kern w:val="0"/>
          <w:szCs w:val="21"/>
        </w:rPr>
        <w:t>南京市规划和自然资源局</w:t>
      </w:r>
    </w:p>
    <w:p w:rsidR="00526B45" w:rsidRPr="00526B45" w:rsidRDefault="00526B45" w:rsidP="00526B45">
      <w:pPr>
        <w:widowControl/>
        <w:shd w:val="clear" w:color="auto" w:fill="FFFFFF"/>
        <w:spacing w:line="360" w:lineRule="auto"/>
        <w:jc w:val="right"/>
        <w:rPr>
          <w:rFonts w:ascii="宋体" w:eastAsia="宋体" w:hAnsi="宋体" w:cs="宋体"/>
          <w:color w:val="333333"/>
          <w:kern w:val="0"/>
          <w:szCs w:val="21"/>
        </w:rPr>
      </w:pPr>
      <w:r w:rsidRPr="00526B45">
        <w:rPr>
          <w:rFonts w:ascii="宋体" w:eastAsia="宋体" w:hAnsi="宋体" w:cs="宋体" w:hint="eastAsia"/>
          <w:color w:val="333333"/>
          <w:spacing w:val="8"/>
          <w:kern w:val="0"/>
          <w:szCs w:val="21"/>
        </w:rPr>
        <w:t>2019年5月31日</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南京市规划和自然资源局地址：南京市鼓楼区中山路171号</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南京市土地矿产市场管理中心地址：南京市鼓楼区高家酒馆15号7楼（原市规划局）</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网站：南京市国有建设用地使用权公开出让网上交易系统（http://jy.landnj.cn/welcome.html）</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南京土地市场网（</w:t>
      </w:r>
      <w:hyperlink r:id="rId9" w:history="1">
        <w:r w:rsidRPr="00526B45">
          <w:rPr>
            <w:rFonts w:ascii="宋体" w:eastAsia="宋体" w:hAnsi="宋体" w:cs="宋体" w:hint="eastAsia"/>
            <w:color w:val="000000"/>
            <w:kern w:val="0"/>
            <w:szCs w:val="21"/>
            <w:u w:val="single"/>
          </w:rPr>
          <w:t>http://www.landnj.cn</w:t>
        </w:r>
      </w:hyperlink>
      <w:r w:rsidRPr="00526B45">
        <w:rPr>
          <w:rFonts w:ascii="宋体" w:eastAsia="宋体" w:hAnsi="宋体" w:cs="宋体" w:hint="eastAsia"/>
          <w:color w:val="333333"/>
          <w:kern w:val="0"/>
          <w:szCs w:val="21"/>
        </w:rPr>
        <w:t>）</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南京市规划和自然资源局（</w:t>
      </w:r>
      <w:r w:rsidRPr="00526B45">
        <w:rPr>
          <w:rFonts w:ascii="宋体" w:eastAsia="宋体" w:hAnsi="宋体" w:cs="Calibri"/>
          <w:color w:val="333333"/>
          <w:kern w:val="0"/>
          <w:szCs w:val="21"/>
        </w:rPr>
        <w:t>http://www.njgt.gov.cn</w:t>
      </w:r>
      <w:r w:rsidRPr="00526B45">
        <w:rPr>
          <w:rFonts w:ascii="宋体" w:eastAsia="宋体" w:hAnsi="宋体" w:cs="宋体" w:hint="eastAsia"/>
          <w:color w:val="333333"/>
          <w:kern w:val="0"/>
          <w:szCs w:val="21"/>
        </w:rPr>
        <w:t>）</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江苏土地市场网（</w:t>
      </w:r>
      <w:hyperlink r:id="rId10" w:history="1">
        <w:r w:rsidRPr="00526B45">
          <w:rPr>
            <w:rFonts w:ascii="宋体" w:eastAsia="宋体" w:hAnsi="宋体" w:cs="宋体" w:hint="eastAsia"/>
            <w:color w:val="000000"/>
            <w:kern w:val="0"/>
            <w:szCs w:val="21"/>
            <w:u w:val="single"/>
          </w:rPr>
          <w:t>http://www.landjs.com</w:t>
        </w:r>
      </w:hyperlink>
      <w:r w:rsidRPr="00526B45">
        <w:rPr>
          <w:rFonts w:ascii="宋体" w:eastAsia="宋体" w:hAnsi="宋体" w:cs="宋体" w:hint="eastAsia"/>
          <w:color w:val="333333"/>
          <w:kern w:val="0"/>
          <w:szCs w:val="21"/>
        </w:rPr>
        <w:t>）</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bookmarkStart w:id="0" w:name="_GoBack"/>
      <w:bookmarkEnd w:id="0"/>
      <w:r w:rsidRPr="00526B45">
        <w:rPr>
          <w:rFonts w:ascii="宋体" w:eastAsia="宋体" w:hAnsi="宋体" w:cs="宋体" w:hint="eastAsia"/>
          <w:color w:val="333333"/>
          <w:kern w:val="0"/>
          <w:szCs w:val="21"/>
        </w:rPr>
        <w:t>业务咨询电话：(025)89691812、(025)89691813</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财务咨询电话：(025)89691821</w:t>
      </w:r>
      <w:r>
        <w:rPr>
          <w:rFonts w:ascii="宋体" w:eastAsia="宋体" w:hAnsi="宋体" w:cs="宋体" w:hint="eastAsia"/>
          <w:color w:val="333333"/>
          <w:kern w:val="0"/>
          <w:szCs w:val="21"/>
        </w:rPr>
        <w:t xml:space="preserve"> </w:t>
      </w:r>
      <w:r w:rsidRPr="00526B45">
        <w:rPr>
          <w:rFonts w:ascii="宋体" w:eastAsia="宋体" w:hAnsi="宋体" w:cs="宋体" w:hint="eastAsia"/>
          <w:color w:val="333333"/>
          <w:kern w:val="0"/>
          <w:szCs w:val="21"/>
        </w:rPr>
        <w:t>网络系统咨询电话：(025)89691819</w:t>
      </w:r>
    </w:p>
    <w:p w:rsidR="00526B45" w:rsidRPr="00526B45" w:rsidRDefault="00526B45" w:rsidP="00526B45">
      <w:pPr>
        <w:widowControl/>
        <w:shd w:val="clear" w:color="auto" w:fill="FFFFFF"/>
        <w:spacing w:line="360" w:lineRule="auto"/>
        <w:rPr>
          <w:rFonts w:ascii="宋体" w:eastAsia="宋体" w:hAnsi="宋体" w:cs="宋体"/>
          <w:color w:val="333333"/>
          <w:kern w:val="0"/>
          <w:szCs w:val="21"/>
        </w:rPr>
      </w:pPr>
      <w:r w:rsidRPr="00526B45">
        <w:rPr>
          <w:rFonts w:ascii="宋体" w:eastAsia="宋体" w:hAnsi="宋体" w:cs="宋体" w:hint="eastAsia"/>
          <w:color w:val="333333"/>
          <w:kern w:val="0"/>
          <w:szCs w:val="21"/>
        </w:rPr>
        <w:t>南京市公证处咨询电话：18851755506</w:t>
      </w:r>
    </w:p>
    <w:p w:rsidR="00885B7F" w:rsidRPr="00526B45" w:rsidRDefault="00885B7F" w:rsidP="00526B45">
      <w:pPr>
        <w:rPr>
          <w:rFonts w:ascii="宋体" w:eastAsia="宋体" w:hAnsi="宋体"/>
        </w:rPr>
      </w:pPr>
    </w:p>
    <w:sectPr w:rsidR="00885B7F" w:rsidRPr="00526B45" w:rsidSect="00D7182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E25" w:rsidRDefault="005F7E25" w:rsidP="002B1230">
      <w:r>
        <w:separator/>
      </w:r>
    </w:p>
  </w:endnote>
  <w:endnote w:type="continuationSeparator" w:id="0">
    <w:p w:rsidR="005F7E25" w:rsidRDefault="005F7E25" w:rsidP="002B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E25" w:rsidRDefault="005F7E25" w:rsidP="002B1230">
      <w:r>
        <w:separator/>
      </w:r>
    </w:p>
  </w:footnote>
  <w:footnote w:type="continuationSeparator" w:id="0">
    <w:p w:rsidR="005F7E25" w:rsidRDefault="005F7E25" w:rsidP="002B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DA10"/>
    <w:multiLevelType w:val="singleLevel"/>
    <w:tmpl w:val="313BDA10"/>
    <w:lvl w:ilvl="0">
      <w:start w:val="7"/>
      <w:numFmt w:val="chineseCounting"/>
      <w:suff w:val="nothing"/>
      <w:lvlText w:val="%1、"/>
      <w:lvlJc w:val="left"/>
      <w:pPr>
        <w:ind w:left="31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1D"/>
    <w:rsid w:val="000515B4"/>
    <w:rsid w:val="000625B3"/>
    <w:rsid w:val="00066B07"/>
    <w:rsid w:val="00093261"/>
    <w:rsid w:val="001222BC"/>
    <w:rsid w:val="001655EF"/>
    <w:rsid w:val="00174FD2"/>
    <w:rsid w:val="001E6142"/>
    <w:rsid w:val="00253830"/>
    <w:rsid w:val="00276181"/>
    <w:rsid w:val="002B05B7"/>
    <w:rsid w:val="002B1230"/>
    <w:rsid w:val="002C2396"/>
    <w:rsid w:val="002F1F27"/>
    <w:rsid w:val="00304292"/>
    <w:rsid w:val="003236E9"/>
    <w:rsid w:val="00356FE5"/>
    <w:rsid w:val="00364FAF"/>
    <w:rsid w:val="00372B24"/>
    <w:rsid w:val="003A317A"/>
    <w:rsid w:val="003A3F6C"/>
    <w:rsid w:val="003B12F7"/>
    <w:rsid w:val="003B7A98"/>
    <w:rsid w:val="003E69F1"/>
    <w:rsid w:val="00430465"/>
    <w:rsid w:val="00444AD4"/>
    <w:rsid w:val="004E5A59"/>
    <w:rsid w:val="00526B45"/>
    <w:rsid w:val="0056474F"/>
    <w:rsid w:val="00565DB0"/>
    <w:rsid w:val="005C14A3"/>
    <w:rsid w:val="005F54F3"/>
    <w:rsid w:val="005F7E25"/>
    <w:rsid w:val="00611EB3"/>
    <w:rsid w:val="006221CF"/>
    <w:rsid w:val="00622C0C"/>
    <w:rsid w:val="00642093"/>
    <w:rsid w:val="00667916"/>
    <w:rsid w:val="00687B04"/>
    <w:rsid w:val="00697283"/>
    <w:rsid w:val="006F2315"/>
    <w:rsid w:val="00701CED"/>
    <w:rsid w:val="007A2B43"/>
    <w:rsid w:val="007B63C8"/>
    <w:rsid w:val="008153DD"/>
    <w:rsid w:val="008463E8"/>
    <w:rsid w:val="00885B7F"/>
    <w:rsid w:val="008A495C"/>
    <w:rsid w:val="008B47BB"/>
    <w:rsid w:val="008D0371"/>
    <w:rsid w:val="00905639"/>
    <w:rsid w:val="00923985"/>
    <w:rsid w:val="00951FF1"/>
    <w:rsid w:val="00964DFD"/>
    <w:rsid w:val="009A5E92"/>
    <w:rsid w:val="009A60C6"/>
    <w:rsid w:val="009B2367"/>
    <w:rsid w:val="009B5BB0"/>
    <w:rsid w:val="009E0BD2"/>
    <w:rsid w:val="00A5790A"/>
    <w:rsid w:val="00A840B0"/>
    <w:rsid w:val="00AB5D12"/>
    <w:rsid w:val="00AC6F63"/>
    <w:rsid w:val="00AE027D"/>
    <w:rsid w:val="00AF6D71"/>
    <w:rsid w:val="00B01CB3"/>
    <w:rsid w:val="00B465D5"/>
    <w:rsid w:val="00B46FD3"/>
    <w:rsid w:val="00B533B5"/>
    <w:rsid w:val="00B62FA8"/>
    <w:rsid w:val="00B63FAD"/>
    <w:rsid w:val="00B7221D"/>
    <w:rsid w:val="00B81FC7"/>
    <w:rsid w:val="00BD170B"/>
    <w:rsid w:val="00BD7B96"/>
    <w:rsid w:val="00C335E5"/>
    <w:rsid w:val="00C33D63"/>
    <w:rsid w:val="00C565F3"/>
    <w:rsid w:val="00C71C6C"/>
    <w:rsid w:val="00C843EB"/>
    <w:rsid w:val="00D4466A"/>
    <w:rsid w:val="00D7182B"/>
    <w:rsid w:val="00D94EAE"/>
    <w:rsid w:val="00DB285E"/>
    <w:rsid w:val="00DC56F8"/>
    <w:rsid w:val="00E02DFF"/>
    <w:rsid w:val="00E916D1"/>
    <w:rsid w:val="00F363E8"/>
    <w:rsid w:val="00F36730"/>
    <w:rsid w:val="00F37DC1"/>
    <w:rsid w:val="00F505F5"/>
    <w:rsid w:val="00F92C1F"/>
    <w:rsid w:val="00FA0C5E"/>
    <w:rsid w:val="00FA1935"/>
    <w:rsid w:val="00FB0A10"/>
    <w:rsid w:val="00FB5558"/>
    <w:rsid w:val="00FB6297"/>
    <w:rsid w:val="00FB787C"/>
    <w:rsid w:val="00FD495B"/>
    <w:rsid w:val="016F37EF"/>
    <w:rsid w:val="10483600"/>
    <w:rsid w:val="1A427E69"/>
    <w:rsid w:val="25215AB2"/>
    <w:rsid w:val="26A6532E"/>
    <w:rsid w:val="42EB32A3"/>
    <w:rsid w:val="485F42CF"/>
    <w:rsid w:val="57236E87"/>
    <w:rsid w:val="57410F2D"/>
    <w:rsid w:val="6012636A"/>
    <w:rsid w:val="68540C0C"/>
    <w:rsid w:val="7C056ACE"/>
    <w:rsid w:val="7FBA0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2149D"/>
  <w15:docId w15:val="{DAC30E2F-AA0F-4705-B629-82130D3D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FollowedHyperlink"/>
    <w:basedOn w:val="a0"/>
    <w:uiPriority w:val="99"/>
    <w:semiHidden/>
    <w:unhideWhenUsed/>
    <w:qFormat/>
    <w:rPr>
      <w:color w:val="000000"/>
      <w:u w:val="none"/>
    </w:rPr>
  </w:style>
  <w:style w:type="character" w:styleId="a5">
    <w:name w:val="Hyperlink"/>
    <w:basedOn w:val="a0"/>
    <w:uiPriority w:val="99"/>
    <w:unhideWhenUsed/>
    <w:qFormat/>
    <w:rPr>
      <w:color w:val="0000FF"/>
      <w:u w:val="single"/>
    </w:rPr>
  </w:style>
  <w:style w:type="paragraph" w:styleId="a6">
    <w:name w:val="List Paragraph"/>
    <w:basedOn w:val="a"/>
    <w:uiPriority w:val="34"/>
    <w:qFormat/>
    <w:pPr>
      <w:ind w:firstLineChars="200" w:firstLine="420"/>
    </w:pPr>
  </w:style>
  <w:style w:type="character" w:customStyle="1" w:styleId="textview1">
    <w:name w:val="text_view1"/>
    <w:basedOn w:val="a0"/>
    <w:qFormat/>
    <w:rPr>
      <w:sz w:val="21"/>
      <w:szCs w:val="21"/>
    </w:rPr>
  </w:style>
  <w:style w:type="paragraph" w:customStyle="1" w:styleId="textview">
    <w:name w:val="text_view"/>
    <w:basedOn w:val="a"/>
    <w:qFormat/>
    <w:pPr>
      <w:widowControl/>
      <w:spacing w:before="100" w:beforeAutospacing="1" w:after="100" w:afterAutospacing="1" w:line="450" w:lineRule="atLeast"/>
      <w:jc w:val="left"/>
    </w:pPr>
    <w:rPr>
      <w:rFonts w:ascii="宋体" w:eastAsia="宋体" w:hAnsi="宋体" w:cs="宋体"/>
      <w:kern w:val="0"/>
      <w:szCs w:val="21"/>
    </w:rPr>
  </w:style>
  <w:style w:type="character" w:customStyle="1" w:styleId="titlemiddle1">
    <w:name w:val="title_middle1"/>
    <w:basedOn w:val="a0"/>
    <w:qFormat/>
    <w:rPr>
      <w:rFonts w:ascii="宋体" w:eastAsia="宋体" w:hAnsi="宋体" w:hint="eastAsia"/>
      <w:b/>
      <w:bCs/>
      <w:sz w:val="24"/>
      <w:szCs w:val="24"/>
    </w:rPr>
  </w:style>
  <w:style w:type="character" w:customStyle="1" w:styleId="apple-converted-space">
    <w:name w:val="apple-converted-space"/>
    <w:basedOn w:val="a0"/>
    <w:qFormat/>
  </w:style>
  <w:style w:type="paragraph" w:styleId="a7">
    <w:name w:val="header"/>
    <w:basedOn w:val="a"/>
    <w:link w:val="a8"/>
    <w:uiPriority w:val="99"/>
    <w:unhideWhenUsed/>
    <w:rsid w:val="002B123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B1230"/>
    <w:rPr>
      <w:rFonts w:asciiTheme="minorHAnsi" w:eastAsiaTheme="minorEastAsia" w:hAnsiTheme="minorHAnsi" w:cstheme="minorBidi"/>
      <w:kern w:val="2"/>
      <w:sz w:val="18"/>
      <w:szCs w:val="18"/>
    </w:rPr>
  </w:style>
  <w:style w:type="paragraph" w:styleId="a9">
    <w:name w:val="footer"/>
    <w:basedOn w:val="a"/>
    <w:link w:val="aa"/>
    <w:uiPriority w:val="99"/>
    <w:unhideWhenUsed/>
    <w:rsid w:val="002B1230"/>
    <w:pPr>
      <w:tabs>
        <w:tab w:val="center" w:pos="4153"/>
        <w:tab w:val="right" w:pos="8306"/>
      </w:tabs>
      <w:snapToGrid w:val="0"/>
      <w:jc w:val="left"/>
    </w:pPr>
    <w:rPr>
      <w:sz w:val="18"/>
      <w:szCs w:val="18"/>
    </w:rPr>
  </w:style>
  <w:style w:type="character" w:customStyle="1" w:styleId="aa">
    <w:name w:val="页脚 字符"/>
    <w:basedOn w:val="a0"/>
    <w:link w:val="a9"/>
    <w:uiPriority w:val="99"/>
    <w:rsid w:val="002B1230"/>
    <w:rPr>
      <w:rFonts w:asciiTheme="minorHAnsi" w:eastAsiaTheme="minorEastAsia" w:hAnsiTheme="minorHAnsi" w:cstheme="minorBidi"/>
      <w:kern w:val="2"/>
      <w:sz w:val="18"/>
      <w:szCs w:val="18"/>
    </w:rPr>
  </w:style>
  <w:style w:type="character" w:styleId="ab">
    <w:name w:val="Unresolved Mention"/>
    <w:basedOn w:val="a0"/>
    <w:uiPriority w:val="99"/>
    <w:semiHidden/>
    <w:unhideWhenUsed/>
    <w:rsid w:val="00FA1935"/>
    <w:rPr>
      <w:color w:val="605E5C"/>
      <w:shd w:val="clear" w:color="auto" w:fill="E1DFDD"/>
    </w:rPr>
  </w:style>
  <w:style w:type="character" w:customStyle="1" w:styleId="titlemiddle">
    <w:name w:val="title_middle"/>
    <w:basedOn w:val="a0"/>
    <w:rsid w:val="009B5BB0"/>
  </w:style>
  <w:style w:type="paragraph" w:styleId="z-">
    <w:name w:val="HTML Top of Form"/>
    <w:basedOn w:val="a"/>
    <w:next w:val="a"/>
    <w:link w:val="z-0"/>
    <w:hidden/>
    <w:uiPriority w:val="99"/>
    <w:semiHidden/>
    <w:unhideWhenUsed/>
    <w:rsid w:val="00174FD2"/>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174FD2"/>
    <w:rPr>
      <w:rFonts w:ascii="Arial" w:hAnsi="Arial" w:cs="Arial"/>
      <w:vanish/>
      <w:sz w:val="16"/>
      <w:szCs w:val="16"/>
    </w:rPr>
  </w:style>
  <w:style w:type="paragraph" w:styleId="z-1">
    <w:name w:val="HTML Bottom of Form"/>
    <w:basedOn w:val="a"/>
    <w:next w:val="a"/>
    <w:link w:val="z-2"/>
    <w:hidden/>
    <w:uiPriority w:val="99"/>
    <w:semiHidden/>
    <w:unhideWhenUsed/>
    <w:rsid w:val="00174FD2"/>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174FD2"/>
    <w:rPr>
      <w:rFonts w:ascii="Arial" w:hAnsi="Arial" w:cs="Arial"/>
      <w:vanish/>
      <w:sz w:val="16"/>
      <w:szCs w:val="16"/>
    </w:rPr>
  </w:style>
  <w:style w:type="table" w:styleId="ac">
    <w:name w:val="Table Grid"/>
    <w:basedOn w:val="a1"/>
    <w:uiPriority w:val="39"/>
    <w:rsid w:val="0032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7916"/>
    <w:rPr>
      <w:sz w:val="18"/>
      <w:szCs w:val="18"/>
    </w:rPr>
  </w:style>
  <w:style w:type="character" w:customStyle="1" w:styleId="ae">
    <w:name w:val="批注框文本 字符"/>
    <w:basedOn w:val="a0"/>
    <w:link w:val="ad"/>
    <w:uiPriority w:val="99"/>
    <w:semiHidden/>
    <w:rsid w:val="006679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4063">
      <w:bodyDiv w:val="1"/>
      <w:marLeft w:val="0"/>
      <w:marRight w:val="0"/>
      <w:marTop w:val="0"/>
      <w:marBottom w:val="0"/>
      <w:divBdr>
        <w:top w:val="none" w:sz="0" w:space="0" w:color="auto"/>
        <w:left w:val="none" w:sz="0" w:space="0" w:color="auto"/>
        <w:bottom w:val="none" w:sz="0" w:space="0" w:color="auto"/>
        <w:right w:val="none" w:sz="0" w:space="0" w:color="auto"/>
      </w:divBdr>
    </w:div>
    <w:div w:id="196049104">
      <w:bodyDiv w:val="1"/>
      <w:marLeft w:val="0"/>
      <w:marRight w:val="0"/>
      <w:marTop w:val="0"/>
      <w:marBottom w:val="0"/>
      <w:divBdr>
        <w:top w:val="none" w:sz="0" w:space="0" w:color="auto"/>
        <w:left w:val="none" w:sz="0" w:space="0" w:color="auto"/>
        <w:bottom w:val="none" w:sz="0" w:space="0" w:color="auto"/>
        <w:right w:val="none" w:sz="0" w:space="0" w:color="auto"/>
      </w:divBdr>
      <w:divsChild>
        <w:div w:id="1231117078">
          <w:marLeft w:val="0"/>
          <w:marRight w:val="0"/>
          <w:marTop w:val="0"/>
          <w:marBottom w:val="0"/>
          <w:divBdr>
            <w:top w:val="none" w:sz="0" w:space="0" w:color="auto"/>
            <w:left w:val="none" w:sz="0" w:space="0" w:color="auto"/>
            <w:bottom w:val="none" w:sz="0" w:space="0" w:color="auto"/>
            <w:right w:val="none" w:sz="0" w:space="0" w:color="auto"/>
          </w:divBdr>
        </w:div>
        <w:div w:id="155342744">
          <w:marLeft w:val="0"/>
          <w:marRight w:val="0"/>
          <w:marTop w:val="0"/>
          <w:marBottom w:val="0"/>
          <w:divBdr>
            <w:top w:val="none" w:sz="0" w:space="0" w:color="auto"/>
            <w:left w:val="none" w:sz="0" w:space="0" w:color="auto"/>
            <w:bottom w:val="none" w:sz="0" w:space="0" w:color="auto"/>
            <w:right w:val="none" w:sz="0" w:space="0" w:color="auto"/>
          </w:divBdr>
        </w:div>
      </w:divsChild>
    </w:div>
    <w:div w:id="264387275">
      <w:bodyDiv w:val="1"/>
      <w:marLeft w:val="0"/>
      <w:marRight w:val="0"/>
      <w:marTop w:val="0"/>
      <w:marBottom w:val="0"/>
      <w:divBdr>
        <w:top w:val="none" w:sz="0" w:space="0" w:color="auto"/>
        <w:left w:val="none" w:sz="0" w:space="0" w:color="auto"/>
        <w:bottom w:val="none" w:sz="0" w:space="0" w:color="auto"/>
        <w:right w:val="none" w:sz="0" w:space="0" w:color="auto"/>
      </w:divBdr>
    </w:div>
    <w:div w:id="272175339">
      <w:bodyDiv w:val="1"/>
      <w:marLeft w:val="0"/>
      <w:marRight w:val="0"/>
      <w:marTop w:val="0"/>
      <w:marBottom w:val="0"/>
      <w:divBdr>
        <w:top w:val="none" w:sz="0" w:space="0" w:color="auto"/>
        <w:left w:val="none" w:sz="0" w:space="0" w:color="auto"/>
        <w:bottom w:val="none" w:sz="0" w:space="0" w:color="auto"/>
        <w:right w:val="none" w:sz="0" w:space="0" w:color="auto"/>
      </w:divBdr>
    </w:div>
    <w:div w:id="490412697">
      <w:bodyDiv w:val="1"/>
      <w:marLeft w:val="0"/>
      <w:marRight w:val="0"/>
      <w:marTop w:val="0"/>
      <w:marBottom w:val="0"/>
      <w:divBdr>
        <w:top w:val="none" w:sz="0" w:space="0" w:color="auto"/>
        <w:left w:val="none" w:sz="0" w:space="0" w:color="auto"/>
        <w:bottom w:val="none" w:sz="0" w:space="0" w:color="auto"/>
        <w:right w:val="none" w:sz="0" w:space="0" w:color="auto"/>
      </w:divBdr>
    </w:div>
    <w:div w:id="539052453">
      <w:bodyDiv w:val="1"/>
      <w:marLeft w:val="0"/>
      <w:marRight w:val="0"/>
      <w:marTop w:val="0"/>
      <w:marBottom w:val="0"/>
      <w:divBdr>
        <w:top w:val="none" w:sz="0" w:space="0" w:color="auto"/>
        <w:left w:val="none" w:sz="0" w:space="0" w:color="auto"/>
        <w:bottom w:val="none" w:sz="0" w:space="0" w:color="auto"/>
        <w:right w:val="none" w:sz="0" w:space="0" w:color="auto"/>
      </w:divBdr>
    </w:div>
    <w:div w:id="597367640">
      <w:bodyDiv w:val="1"/>
      <w:marLeft w:val="0"/>
      <w:marRight w:val="0"/>
      <w:marTop w:val="0"/>
      <w:marBottom w:val="0"/>
      <w:divBdr>
        <w:top w:val="none" w:sz="0" w:space="0" w:color="auto"/>
        <w:left w:val="none" w:sz="0" w:space="0" w:color="auto"/>
        <w:bottom w:val="none" w:sz="0" w:space="0" w:color="auto"/>
        <w:right w:val="none" w:sz="0" w:space="0" w:color="auto"/>
      </w:divBdr>
    </w:div>
    <w:div w:id="677121500">
      <w:bodyDiv w:val="1"/>
      <w:marLeft w:val="0"/>
      <w:marRight w:val="0"/>
      <w:marTop w:val="0"/>
      <w:marBottom w:val="0"/>
      <w:divBdr>
        <w:top w:val="none" w:sz="0" w:space="0" w:color="auto"/>
        <w:left w:val="none" w:sz="0" w:space="0" w:color="auto"/>
        <w:bottom w:val="none" w:sz="0" w:space="0" w:color="auto"/>
        <w:right w:val="none" w:sz="0" w:space="0" w:color="auto"/>
      </w:divBdr>
    </w:div>
    <w:div w:id="684788644">
      <w:bodyDiv w:val="1"/>
      <w:marLeft w:val="0"/>
      <w:marRight w:val="0"/>
      <w:marTop w:val="0"/>
      <w:marBottom w:val="0"/>
      <w:divBdr>
        <w:top w:val="none" w:sz="0" w:space="0" w:color="auto"/>
        <w:left w:val="none" w:sz="0" w:space="0" w:color="auto"/>
        <w:bottom w:val="none" w:sz="0" w:space="0" w:color="auto"/>
        <w:right w:val="none" w:sz="0" w:space="0" w:color="auto"/>
      </w:divBdr>
    </w:div>
    <w:div w:id="735711351">
      <w:bodyDiv w:val="1"/>
      <w:marLeft w:val="0"/>
      <w:marRight w:val="0"/>
      <w:marTop w:val="0"/>
      <w:marBottom w:val="0"/>
      <w:divBdr>
        <w:top w:val="none" w:sz="0" w:space="0" w:color="auto"/>
        <w:left w:val="none" w:sz="0" w:space="0" w:color="auto"/>
        <w:bottom w:val="none" w:sz="0" w:space="0" w:color="auto"/>
        <w:right w:val="none" w:sz="0" w:space="0" w:color="auto"/>
      </w:divBdr>
    </w:div>
    <w:div w:id="778833652">
      <w:bodyDiv w:val="1"/>
      <w:marLeft w:val="0"/>
      <w:marRight w:val="0"/>
      <w:marTop w:val="0"/>
      <w:marBottom w:val="0"/>
      <w:divBdr>
        <w:top w:val="none" w:sz="0" w:space="0" w:color="auto"/>
        <w:left w:val="none" w:sz="0" w:space="0" w:color="auto"/>
        <w:bottom w:val="none" w:sz="0" w:space="0" w:color="auto"/>
        <w:right w:val="none" w:sz="0" w:space="0" w:color="auto"/>
      </w:divBdr>
    </w:div>
    <w:div w:id="830486273">
      <w:bodyDiv w:val="1"/>
      <w:marLeft w:val="0"/>
      <w:marRight w:val="0"/>
      <w:marTop w:val="0"/>
      <w:marBottom w:val="0"/>
      <w:divBdr>
        <w:top w:val="none" w:sz="0" w:space="0" w:color="auto"/>
        <w:left w:val="none" w:sz="0" w:space="0" w:color="auto"/>
        <w:bottom w:val="none" w:sz="0" w:space="0" w:color="auto"/>
        <w:right w:val="none" w:sz="0" w:space="0" w:color="auto"/>
      </w:divBdr>
      <w:divsChild>
        <w:div w:id="54595850">
          <w:marLeft w:val="0"/>
          <w:marRight w:val="0"/>
          <w:marTop w:val="0"/>
          <w:marBottom w:val="0"/>
          <w:divBdr>
            <w:top w:val="none" w:sz="0" w:space="0" w:color="auto"/>
            <w:left w:val="none" w:sz="0" w:space="0" w:color="auto"/>
            <w:bottom w:val="none" w:sz="0" w:space="0" w:color="auto"/>
            <w:right w:val="none" w:sz="0" w:space="0" w:color="auto"/>
          </w:divBdr>
        </w:div>
        <w:div w:id="1025978781">
          <w:marLeft w:val="0"/>
          <w:marRight w:val="0"/>
          <w:marTop w:val="0"/>
          <w:marBottom w:val="0"/>
          <w:divBdr>
            <w:top w:val="none" w:sz="0" w:space="0" w:color="auto"/>
            <w:left w:val="none" w:sz="0" w:space="0" w:color="auto"/>
            <w:bottom w:val="none" w:sz="0" w:space="0" w:color="auto"/>
            <w:right w:val="none" w:sz="0" w:space="0" w:color="auto"/>
          </w:divBdr>
        </w:div>
      </w:divsChild>
    </w:div>
    <w:div w:id="847863369">
      <w:bodyDiv w:val="1"/>
      <w:marLeft w:val="0"/>
      <w:marRight w:val="0"/>
      <w:marTop w:val="0"/>
      <w:marBottom w:val="0"/>
      <w:divBdr>
        <w:top w:val="none" w:sz="0" w:space="0" w:color="auto"/>
        <w:left w:val="none" w:sz="0" w:space="0" w:color="auto"/>
        <w:bottom w:val="none" w:sz="0" w:space="0" w:color="auto"/>
        <w:right w:val="none" w:sz="0" w:space="0" w:color="auto"/>
      </w:divBdr>
      <w:divsChild>
        <w:div w:id="875390030">
          <w:marLeft w:val="0"/>
          <w:marRight w:val="0"/>
          <w:marTop w:val="0"/>
          <w:marBottom w:val="0"/>
          <w:divBdr>
            <w:top w:val="none" w:sz="0" w:space="0" w:color="auto"/>
            <w:left w:val="none" w:sz="0" w:space="0" w:color="auto"/>
            <w:bottom w:val="none" w:sz="0" w:space="0" w:color="auto"/>
            <w:right w:val="none" w:sz="0" w:space="0" w:color="auto"/>
          </w:divBdr>
        </w:div>
        <w:div w:id="857739673">
          <w:marLeft w:val="0"/>
          <w:marRight w:val="0"/>
          <w:marTop w:val="0"/>
          <w:marBottom w:val="0"/>
          <w:divBdr>
            <w:top w:val="none" w:sz="0" w:space="0" w:color="auto"/>
            <w:left w:val="none" w:sz="0" w:space="0" w:color="auto"/>
            <w:bottom w:val="none" w:sz="0" w:space="0" w:color="auto"/>
            <w:right w:val="none" w:sz="0" w:space="0" w:color="auto"/>
          </w:divBdr>
        </w:div>
      </w:divsChild>
    </w:div>
    <w:div w:id="871041310">
      <w:bodyDiv w:val="1"/>
      <w:marLeft w:val="0"/>
      <w:marRight w:val="0"/>
      <w:marTop w:val="0"/>
      <w:marBottom w:val="0"/>
      <w:divBdr>
        <w:top w:val="none" w:sz="0" w:space="0" w:color="auto"/>
        <w:left w:val="none" w:sz="0" w:space="0" w:color="auto"/>
        <w:bottom w:val="none" w:sz="0" w:space="0" w:color="auto"/>
        <w:right w:val="none" w:sz="0" w:space="0" w:color="auto"/>
      </w:divBdr>
    </w:div>
    <w:div w:id="890649982">
      <w:bodyDiv w:val="1"/>
      <w:marLeft w:val="0"/>
      <w:marRight w:val="0"/>
      <w:marTop w:val="0"/>
      <w:marBottom w:val="0"/>
      <w:divBdr>
        <w:top w:val="none" w:sz="0" w:space="0" w:color="auto"/>
        <w:left w:val="none" w:sz="0" w:space="0" w:color="auto"/>
        <w:bottom w:val="none" w:sz="0" w:space="0" w:color="auto"/>
        <w:right w:val="none" w:sz="0" w:space="0" w:color="auto"/>
      </w:divBdr>
    </w:div>
    <w:div w:id="948317786">
      <w:bodyDiv w:val="1"/>
      <w:marLeft w:val="0"/>
      <w:marRight w:val="0"/>
      <w:marTop w:val="0"/>
      <w:marBottom w:val="0"/>
      <w:divBdr>
        <w:top w:val="none" w:sz="0" w:space="0" w:color="auto"/>
        <w:left w:val="none" w:sz="0" w:space="0" w:color="auto"/>
        <w:bottom w:val="none" w:sz="0" w:space="0" w:color="auto"/>
        <w:right w:val="none" w:sz="0" w:space="0" w:color="auto"/>
      </w:divBdr>
    </w:div>
    <w:div w:id="1000280828">
      <w:bodyDiv w:val="1"/>
      <w:marLeft w:val="0"/>
      <w:marRight w:val="0"/>
      <w:marTop w:val="0"/>
      <w:marBottom w:val="0"/>
      <w:divBdr>
        <w:top w:val="none" w:sz="0" w:space="0" w:color="auto"/>
        <w:left w:val="none" w:sz="0" w:space="0" w:color="auto"/>
        <w:bottom w:val="none" w:sz="0" w:space="0" w:color="auto"/>
        <w:right w:val="none" w:sz="0" w:space="0" w:color="auto"/>
      </w:divBdr>
    </w:div>
    <w:div w:id="1071469914">
      <w:bodyDiv w:val="1"/>
      <w:marLeft w:val="0"/>
      <w:marRight w:val="0"/>
      <w:marTop w:val="0"/>
      <w:marBottom w:val="0"/>
      <w:divBdr>
        <w:top w:val="none" w:sz="0" w:space="0" w:color="auto"/>
        <w:left w:val="none" w:sz="0" w:space="0" w:color="auto"/>
        <w:bottom w:val="none" w:sz="0" w:space="0" w:color="auto"/>
        <w:right w:val="none" w:sz="0" w:space="0" w:color="auto"/>
      </w:divBdr>
    </w:div>
    <w:div w:id="1082066408">
      <w:bodyDiv w:val="1"/>
      <w:marLeft w:val="0"/>
      <w:marRight w:val="0"/>
      <w:marTop w:val="0"/>
      <w:marBottom w:val="0"/>
      <w:divBdr>
        <w:top w:val="none" w:sz="0" w:space="0" w:color="auto"/>
        <w:left w:val="none" w:sz="0" w:space="0" w:color="auto"/>
        <w:bottom w:val="none" w:sz="0" w:space="0" w:color="auto"/>
        <w:right w:val="none" w:sz="0" w:space="0" w:color="auto"/>
      </w:divBdr>
    </w:div>
    <w:div w:id="1170950344">
      <w:bodyDiv w:val="1"/>
      <w:marLeft w:val="0"/>
      <w:marRight w:val="0"/>
      <w:marTop w:val="0"/>
      <w:marBottom w:val="0"/>
      <w:divBdr>
        <w:top w:val="none" w:sz="0" w:space="0" w:color="auto"/>
        <w:left w:val="none" w:sz="0" w:space="0" w:color="auto"/>
        <w:bottom w:val="none" w:sz="0" w:space="0" w:color="auto"/>
        <w:right w:val="none" w:sz="0" w:space="0" w:color="auto"/>
      </w:divBdr>
    </w:div>
    <w:div w:id="1198468016">
      <w:bodyDiv w:val="1"/>
      <w:marLeft w:val="0"/>
      <w:marRight w:val="0"/>
      <w:marTop w:val="0"/>
      <w:marBottom w:val="0"/>
      <w:divBdr>
        <w:top w:val="none" w:sz="0" w:space="0" w:color="auto"/>
        <w:left w:val="none" w:sz="0" w:space="0" w:color="auto"/>
        <w:bottom w:val="none" w:sz="0" w:space="0" w:color="auto"/>
        <w:right w:val="none" w:sz="0" w:space="0" w:color="auto"/>
      </w:divBdr>
    </w:div>
    <w:div w:id="1221792880">
      <w:bodyDiv w:val="1"/>
      <w:marLeft w:val="0"/>
      <w:marRight w:val="0"/>
      <w:marTop w:val="0"/>
      <w:marBottom w:val="0"/>
      <w:divBdr>
        <w:top w:val="none" w:sz="0" w:space="0" w:color="auto"/>
        <w:left w:val="none" w:sz="0" w:space="0" w:color="auto"/>
        <w:bottom w:val="none" w:sz="0" w:space="0" w:color="auto"/>
        <w:right w:val="none" w:sz="0" w:space="0" w:color="auto"/>
      </w:divBdr>
      <w:divsChild>
        <w:div w:id="2097432063">
          <w:marLeft w:val="0"/>
          <w:marRight w:val="0"/>
          <w:marTop w:val="0"/>
          <w:marBottom w:val="0"/>
          <w:divBdr>
            <w:top w:val="none" w:sz="0" w:space="0" w:color="auto"/>
            <w:left w:val="none" w:sz="0" w:space="0" w:color="auto"/>
            <w:bottom w:val="none" w:sz="0" w:space="0" w:color="auto"/>
            <w:right w:val="none" w:sz="0" w:space="0" w:color="auto"/>
          </w:divBdr>
        </w:div>
        <w:div w:id="1736128280">
          <w:marLeft w:val="0"/>
          <w:marRight w:val="0"/>
          <w:marTop w:val="0"/>
          <w:marBottom w:val="0"/>
          <w:divBdr>
            <w:top w:val="none" w:sz="0" w:space="0" w:color="auto"/>
            <w:left w:val="none" w:sz="0" w:space="0" w:color="auto"/>
            <w:bottom w:val="none" w:sz="0" w:space="0" w:color="auto"/>
            <w:right w:val="none" w:sz="0" w:space="0" w:color="auto"/>
          </w:divBdr>
        </w:div>
      </w:divsChild>
    </w:div>
    <w:div w:id="1304001398">
      <w:bodyDiv w:val="1"/>
      <w:marLeft w:val="0"/>
      <w:marRight w:val="0"/>
      <w:marTop w:val="0"/>
      <w:marBottom w:val="0"/>
      <w:divBdr>
        <w:top w:val="none" w:sz="0" w:space="0" w:color="auto"/>
        <w:left w:val="none" w:sz="0" w:space="0" w:color="auto"/>
        <w:bottom w:val="none" w:sz="0" w:space="0" w:color="auto"/>
        <w:right w:val="none" w:sz="0" w:space="0" w:color="auto"/>
      </w:divBdr>
      <w:divsChild>
        <w:div w:id="361982969">
          <w:marLeft w:val="0"/>
          <w:marRight w:val="0"/>
          <w:marTop w:val="0"/>
          <w:marBottom w:val="0"/>
          <w:divBdr>
            <w:top w:val="none" w:sz="0" w:space="0" w:color="auto"/>
            <w:left w:val="none" w:sz="0" w:space="0" w:color="auto"/>
            <w:bottom w:val="none" w:sz="0" w:space="0" w:color="auto"/>
            <w:right w:val="none" w:sz="0" w:space="0" w:color="auto"/>
          </w:divBdr>
        </w:div>
        <w:div w:id="1753964127">
          <w:marLeft w:val="0"/>
          <w:marRight w:val="0"/>
          <w:marTop w:val="0"/>
          <w:marBottom w:val="0"/>
          <w:divBdr>
            <w:top w:val="none" w:sz="0" w:space="0" w:color="auto"/>
            <w:left w:val="none" w:sz="0" w:space="0" w:color="auto"/>
            <w:bottom w:val="none" w:sz="0" w:space="0" w:color="auto"/>
            <w:right w:val="none" w:sz="0" w:space="0" w:color="auto"/>
          </w:divBdr>
        </w:div>
      </w:divsChild>
    </w:div>
    <w:div w:id="1328754379">
      <w:bodyDiv w:val="1"/>
      <w:marLeft w:val="0"/>
      <w:marRight w:val="0"/>
      <w:marTop w:val="0"/>
      <w:marBottom w:val="0"/>
      <w:divBdr>
        <w:top w:val="none" w:sz="0" w:space="0" w:color="auto"/>
        <w:left w:val="none" w:sz="0" w:space="0" w:color="auto"/>
        <w:bottom w:val="none" w:sz="0" w:space="0" w:color="auto"/>
        <w:right w:val="none" w:sz="0" w:space="0" w:color="auto"/>
      </w:divBdr>
    </w:div>
    <w:div w:id="1334378828">
      <w:bodyDiv w:val="1"/>
      <w:marLeft w:val="0"/>
      <w:marRight w:val="0"/>
      <w:marTop w:val="0"/>
      <w:marBottom w:val="0"/>
      <w:divBdr>
        <w:top w:val="none" w:sz="0" w:space="0" w:color="auto"/>
        <w:left w:val="none" w:sz="0" w:space="0" w:color="auto"/>
        <w:bottom w:val="none" w:sz="0" w:space="0" w:color="auto"/>
        <w:right w:val="none" w:sz="0" w:space="0" w:color="auto"/>
      </w:divBdr>
    </w:div>
    <w:div w:id="1336031131">
      <w:bodyDiv w:val="1"/>
      <w:marLeft w:val="0"/>
      <w:marRight w:val="0"/>
      <w:marTop w:val="0"/>
      <w:marBottom w:val="0"/>
      <w:divBdr>
        <w:top w:val="none" w:sz="0" w:space="0" w:color="auto"/>
        <w:left w:val="none" w:sz="0" w:space="0" w:color="auto"/>
        <w:bottom w:val="none" w:sz="0" w:space="0" w:color="auto"/>
        <w:right w:val="none" w:sz="0" w:space="0" w:color="auto"/>
      </w:divBdr>
    </w:div>
    <w:div w:id="1347752929">
      <w:bodyDiv w:val="1"/>
      <w:marLeft w:val="0"/>
      <w:marRight w:val="0"/>
      <w:marTop w:val="0"/>
      <w:marBottom w:val="0"/>
      <w:divBdr>
        <w:top w:val="none" w:sz="0" w:space="0" w:color="auto"/>
        <w:left w:val="none" w:sz="0" w:space="0" w:color="auto"/>
        <w:bottom w:val="none" w:sz="0" w:space="0" w:color="auto"/>
        <w:right w:val="none" w:sz="0" w:space="0" w:color="auto"/>
      </w:divBdr>
    </w:div>
    <w:div w:id="1394155086">
      <w:bodyDiv w:val="1"/>
      <w:marLeft w:val="0"/>
      <w:marRight w:val="0"/>
      <w:marTop w:val="0"/>
      <w:marBottom w:val="0"/>
      <w:divBdr>
        <w:top w:val="none" w:sz="0" w:space="0" w:color="auto"/>
        <w:left w:val="none" w:sz="0" w:space="0" w:color="auto"/>
        <w:bottom w:val="none" w:sz="0" w:space="0" w:color="auto"/>
        <w:right w:val="none" w:sz="0" w:space="0" w:color="auto"/>
      </w:divBdr>
      <w:divsChild>
        <w:div w:id="1742437007">
          <w:marLeft w:val="0"/>
          <w:marRight w:val="0"/>
          <w:marTop w:val="0"/>
          <w:marBottom w:val="0"/>
          <w:divBdr>
            <w:top w:val="none" w:sz="0" w:space="0" w:color="auto"/>
            <w:left w:val="none" w:sz="0" w:space="0" w:color="auto"/>
            <w:bottom w:val="none" w:sz="0" w:space="0" w:color="auto"/>
            <w:right w:val="none" w:sz="0" w:space="0" w:color="auto"/>
          </w:divBdr>
        </w:div>
        <w:div w:id="1630673034">
          <w:marLeft w:val="0"/>
          <w:marRight w:val="0"/>
          <w:marTop w:val="0"/>
          <w:marBottom w:val="0"/>
          <w:divBdr>
            <w:top w:val="none" w:sz="0" w:space="0" w:color="auto"/>
            <w:left w:val="none" w:sz="0" w:space="0" w:color="auto"/>
            <w:bottom w:val="none" w:sz="0" w:space="0" w:color="auto"/>
            <w:right w:val="none" w:sz="0" w:space="0" w:color="auto"/>
          </w:divBdr>
        </w:div>
      </w:divsChild>
    </w:div>
    <w:div w:id="1460874695">
      <w:bodyDiv w:val="1"/>
      <w:marLeft w:val="0"/>
      <w:marRight w:val="0"/>
      <w:marTop w:val="0"/>
      <w:marBottom w:val="0"/>
      <w:divBdr>
        <w:top w:val="none" w:sz="0" w:space="0" w:color="auto"/>
        <w:left w:val="none" w:sz="0" w:space="0" w:color="auto"/>
        <w:bottom w:val="none" w:sz="0" w:space="0" w:color="auto"/>
        <w:right w:val="none" w:sz="0" w:space="0" w:color="auto"/>
      </w:divBdr>
    </w:div>
    <w:div w:id="1589315324">
      <w:bodyDiv w:val="1"/>
      <w:marLeft w:val="0"/>
      <w:marRight w:val="0"/>
      <w:marTop w:val="0"/>
      <w:marBottom w:val="0"/>
      <w:divBdr>
        <w:top w:val="none" w:sz="0" w:space="0" w:color="auto"/>
        <w:left w:val="none" w:sz="0" w:space="0" w:color="auto"/>
        <w:bottom w:val="none" w:sz="0" w:space="0" w:color="auto"/>
        <w:right w:val="none" w:sz="0" w:space="0" w:color="auto"/>
      </w:divBdr>
    </w:div>
    <w:div w:id="1677533254">
      <w:bodyDiv w:val="1"/>
      <w:marLeft w:val="0"/>
      <w:marRight w:val="0"/>
      <w:marTop w:val="0"/>
      <w:marBottom w:val="0"/>
      <w:divBdr>
        <w:top w:val="none" w:sz="0" w:space="0" w:color="auto"/>
        <w:left w:val="none" w:sz="0" w:space="0" w:color="auto"/>
        <w:bottom w:val="none" w:sz="0" w:space="0" w:color="auto"/>
        <w:right w:val="none" w:sz="0" w:space="0" w:color="auto"/>
      </w:divBdr>
    </w:div>
    <w:div w:id="1990593853">
      <w:bodyDiv w:val="1"/>
      <w:marLeft w:val="0"/>
      <w:marRight w:val="0"/>
      <w:marTop w:val="0"/>
      <w:marBottom w:val="0"/>
      <w:divBdr>
        <w:top w:val="none" w:sz="0" w:space="0" w:color="auto"/>
        <w:left w:val="none" w:sz="0" w:space="0" w:color="auto"/>
        <w:bottom w:val="none" w:sz="0" w:space="0" w:color="auto"/>
        <w:right w:val="none" w:sz="0" w:space="0" w:color="auto"/>
      </w:divBdr>
    </w:div>
    <w:div w:id="2052725729">
      <w:bodyDiv w:val="1"/>
      <w:marLeft w:val="0"/>
      <w:marRight w:val="0"/>
      <w:marTop w:val="0"/>
      <w:marBottom w:val="0"/>
      <w:divBdr>
        <w:top w:val="none" w:sz="0" w:space="0" w:color="auto"/>
        <w:left w:val="none" w:sz="0" w:space="0" w:color="auto"/>
        <w:bottom w:val="none" w:sz="0" w:space="0" w:color="auto"/>
        <w:right w:val="none" w:sz="0" w:space="0" w:color="auto"/>
      </w:divBdr>
    </w:div>
    <w:div w:id="2084795564">
      <w:bodyDiv w:val="1"/>
      <w:marLeft w:val="0"/>
      <w:marRight w:val="0"/>
      <w:marTop w:val="0"/>
      <w:marBottom w:val="0"/>
      <w:divBdr>
        <w:top w:val="none" w:sz="0" w:space="0" w:color="auto"/>
        <w:left w:val="none" w:sz="0" w:space="0" w:color="auto"/>
        <w:bottom w:val="none" w:sz="0" w:space="0" w:color="auto"/>
        <w:right w:val="none" w:sz="0" w:space="0" w:color="auto"/>
      </w:divBdr>
    </w:div>
    <w:div w:id="210981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andjs.com/" TargetMode="External"/><Relationship Id="rId4" Type="http://schemas.openxmlformats.org/officeDocument/2006/relationships/styles" Target="styles.xml"/><Relationship Id="rId9" Type="http://schemas.openxmlformats.org/officeDocument/2006/relationships/hyperlink" Target="http://www.landn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3F0AAD-2FE3-4DD5-BE65-5E4B15C9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737</Words>
  <Characters>4205</Characters>
  <Application>Microsoft Office Word</Application>
  <DocSecurity>0</DocSecurity>
  <Lines>35</Lines>
  <Paragraphs>9</Paragraphs>
  <ScaleCrop>false</ScaleCrop>
  <Company>Sky123.Org</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sf</cp:lastModifiedBy>
  <cp:revision>77</cp:revision>
  <dcterms:created xsi:type="dcterms:W3CDTF">2018-11-30T06:06:00Z</dcterms:created>
  <dcterms:modified xsi:type="dcterms:W3CDTF">2019-05-31T06:58:00Z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